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7B" w:rsidRDefault="009A1CFC" w:rsidP="006F5669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609612" cy="885574"/>
            <wp:effectExtent l="0" t="0" r="28688" b="47876"/>
            <wp:docPr id="1" name="Рисунок 1" descr="SARRCOKO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RRCOKO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12" cy="88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4447" w:rsidRDefault="00334447" w:rsidP="00DD02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АВТОНОМНОЕ УЧРЕЖДЕНИЕ </w:t>
      </w:r>
      <w:r w:rsidR="00C5190E">
        <w:rPr>
          <w:b/>
          <w:sz w:val="24"/>
          <w:szCs w:val="24"/>
        </w:rPr>
        <w:br/>
      </w:r>
      <w:r>
        <w:rPr>
          <w:b/>
          <w:sz w:val="24"/>
          <w:szCs w:val="24"/>
        </w:rPr>
        <w:t>САРАТОВСКОЙ ОБЛАСТИ</w:t>
      </w:r>
    </w:p>
    <w:p w:rsidR="00334447" w:rsidRDefault="00334447" w:rsidP="00DD02E6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«РЕГИОНАЛЬНЫЙ ЦЕНТР ОЦЕНКИ КАЧЕСТВА ОБРАЗОВАНИЯ»</w:t>
      </w:r>
    </w:p>
    <w:p w:rsidR="00334447" w:rsidRPr="008F560F" w:rsidRDefault="00334447" w:rsidP="00DD02E6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FF3026" w:rsidRPr="00D942DE" w:rsidRDefault="00FF3026" w:rsidP="00C519AE">
      <w:pPr>
        <w:spacing w:after="0" w:line="240" w:lineRule="auto"/>
        <w:jc w:val="center"/>
        <w:rPr>
          <w:b/>
          <w:i/>
          <w:sz w:val="32"/>
          <w:szCs w:val="32"/>
        </w:rPr>
      </w:pPr>
      <w:r w:rsidRPr="00D942DE">
        <w:rPr>
          <w:b/>
          <w:sz w:val="32"/>
          <w:szCs w:val="32"/>
        </w:rPr>
        <w:t xml:space="preserve">245. Кировский </w:t>
      </w:r>
      <w:r w:rsidRPr="003C5A9B">
        <w:rPr>
          <w:b/>
          <w:sz w:val="32"/>
          <w:szCs w:val="32"/>
        </w:rPr>
        <w:t>район</w:t>
      </w:r>
      <w:r>
        <w:rPr>
          <w:b/>
          <w:sz w:val="32"/>
          <w:szCs w:val="32"/>
        </w:rPr>
        <w:t xml:space="preserve"> МО «Город Саратов»</w:t>
      </w:r>
    </w:p>
    <w:p w:rsidR="00FF3026" w:rsidRDefault="00FF3026" w:rsidP="00FF3026">
      <w:pPr>
        <w:spacing w:after="0" w:line="240" w:lineRule="auto"/>
        <w:ind w:firstLine="709"/>
        <w:rPr>
          <w:b/>
          <w:u w:val="single"/>
        </w:rPr>
      </w:pP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outlineLvl w:val="0"/>
        <w:rPr>
          <w:b/>
          <w:u w:val="single"/>
        </w:rPr>
      </w:pPr>
      <w:r>
        <w:rPr>
          <w:b/>
          <w:u w:val="single"/>
        </w:rPr>
        <w:t>Результаты единого государственного экзамена (ЕГЭ)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>Для участия в ЕГЭ 2022 года в Кировском районе г. Саратова были зарегистрированы 658 выпускников из 15 образовательных организаций. На ГВЭ были зарегистрированы 3 участника, что составляет 0,45% от общего количества обучающихся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>Выпускники района не принимали участие в ЕГЭ по немецкому, французскому, испанскому и китайскому языкам. В общей сложности было сдано 2348 человеко</w:t>
      </w:r>
      <w:r>
        <w:rPr>
          <w:color w:val="000000"/>
        </w:rPr>
        <w:t>–</w:t>
      </w:r>
      <w:r>
        <w:t>экзаменов.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>Процент недостижения минимального порога</w:t>
      </w:r>
      <w:r>
        <w:rPr>
          <w:b/>
        </w:rPr>
        <w:t xml:space="preserve"> </w:t>
      </w:r>
      <w:r>
        <w:t xml:space="preserve">сократился в районе по пяти предметам: </w:t>
      </w:r>
      <w:r>
        <w:rPr>
          <w:color w:val="000000"/>
        </w:rPr>
        <w:t>по биологии</w:t>
      </w:r>
      <w:r>
        <w:t xml:space="preserve"> (на 0,5%), по математике профильного уровня (на 2,6%), по химии (на 9,7%), по истории (0,4%) и по обществознанию (на 5,9%). Данный показатель повысился по русскому языку (на 0,3%), физике (на 0,5%), информатике и ИКТ (на 4,8%), географии (на 6,7%) и литературе (на 2,2%). За последние три года преодолели минимальный порог все выпускники, сдававшие английский язык.</w:t>
      </w:r>
    </w:p>
    <w:p w:rsidR="00C519AE" w:rsidRDefault="00C519AE" w:rsidP="00C519AE">
      <w:pPr>
        <w:spacing w:after="0" w:line="240" w:lineRule="auto"/>
        <w:ind w:firstLine="709"/>
        <w:jc w:val="both"/>
      </w:pPr>
    </w:p>
    <w:p w:rsidR="00C519AE" w:rsidRDefault="009A1CFC" w:rsidP="00C519AE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153663" cy="2953011"/>
            <wp:effectExtent l="12188" t="6089" r="4444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19AE" w:rsidRDefault="00C519AE" w:rsidP="00C519AE">
      <w:pPr>
        <w:spacing w:after="0" w:line="240" w:lineRule="auto"/>
        <w:ind w:firstLine="709"/>
        <w:jc w:val="center"/>
      </w:pPr>
      <w:r>
        <w:t>Рис.1 Динамика процента выпускников,</w:t>
      </w:r>
    </w:p>
    <w:p w:rsidR="00C519AE" w:rsidRDefault="00C519AE" w:rsidP="00C519AE">
      <w:pPr>
        <w:spacing w:after="0" w:line="240" w:lineRule="auto"/>
        <w:ind w:firstLine="709"/>
        <w:jc w:val="center"/>
      </w:pPr>
      <w:r>
        <w:t>не достигших минимального порога по предметам ЕГЭ.</w:t>
      </w:r>
    </w:p>
    <w:p w:rsidR="00C519AE" w:rsidRDefault="00C519AE" w:rsidP="00C519AE">
      <w:pPr>
        <w:tabs>
          <w:tab w:val="left" w:pos="709"/>
          <w:tab w:val="left" w:pos="851"/>
        </w:tabs>
        <w:spacing w:after="0" w:line="240" w:lineRule="auto"/>
        <w:jc w:val="both"/>
      </w:pPr>
      <w:r>
        <w:lastRenderedPageBreak/>
        <w:tab/>
        <w:t>По русскому языку для получения аттестата о среднем общем образовании минимальный порог в 24 балла не преодолели 2 участника, и 9 участников не преодолели минимальный порог для поступления по программам бакалавриата и специалитета в образовательные организации высшего профессионального образования.</w:t>
      </w:r>
    </w:p>
    <w:p w:rsidR="00C519AE" w:rsidRDefault="00C519AE" w:rsidP="00C519AE">
      <w:pPr>
        <w:tabs>
          <w:tab w:val="left" w:pos="709"/>
        </w:tabs>
        <w:spacing w:after="0" w:line="240" w:lineRule="auto"/>
        <w:jc w:val="both"/>
      </w:pPr>
      <w:r>
        <w:tab/>
        <w:t>В 6 образовательных организациях показатель недостижения минимального порогового балла по всем предметам выше, чем средний показатель по району (6,1%).</w:t>
      </w:r>
    </w:p>
    <w:p w:rsidR="00C519AE" w:rsidRDefault="00C519AE" w:rsidP="00C519AE">
      <w:pPr>
        <w:tabs>
          <w:tab w:val="left" w:pos="709"/>
        </w:tabs>
        <w:spacing w:after="0" w:line="240" w:lineRule="auto"/>
        <w:jc w:val="both"/>
      </w:pPr>
      <w:r>
        <w:tab/>
        <w:t>В 2022 году выпускников, недостигших минимальный порог, не было в ЛМИ.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 xml:space="preserve">По одному предмету не достигли порога выпускники трех образовательных организаций: СОШ № 21 (информатика и ИКТ </w:t>
      </w:r>
      <w:r>
        <w:rPr>
          <w:color w:val="000000"/>
        </w:rPr>
        <w:t>–</w:t>
      </w:r>
      <w:r>
        <w:t xml:space="preserve"> 42,9%), СОШ № 51 и СОШ № 54 (обществознание – 7,1% и 21,4% соответственно).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>По двум предметам не достигли порога выпускники из СОШ № 71 (биология – 33,3% и обществознание – 10,0%).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>По четырем предметам этот показатель «западает» в Лицее-интернате 64 (физика – 5,3%, химия – 10,7%, информатика и ИКТ – 3,4% и обществознание – 3,7%) и Лицее «Звезда» (математика профильный уровень – 10,0%, история – 33,3%, информатика и ИКТ – 40,0%, обществознание – 7,1%).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 xml:space="preserve">По пяти предметам не перешагнули минимальный порог выпускники из двух образовательных учреждений: Гимназия № 31 (математика профильный уровень – 14,3%, информатика и ИКТ </w:t>
      </w:r>
      <w:r>
        <w:rPr>
          <w:color w:val="000000"/>
        </w:rPr>
        <w:t>–</w:t>
      </w:r>
      <w:r>
        <w:t xml:space="preserve"> 16,7%, история – 14,3%, базовая математика </w:t>
      </w:r>
      <w:r>
        <w:rPr>
          <w:color w:val="000000"/>
        </w:rPr>
        <w:t>–</w:t>
      </w:r>
      <w:r>
        <w:t xml:space="preserve"> 5,0% и обществознание – 14,3%), СКШ 1 (математика профильный уровень – 11,1%, физика – 11,1%, история – 28,6%, биология – 100%, обществознание – 40,0%)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 xml:space="preserve">В четырех образовательных учреждениях выпускники по шести предметам не перешагнули минимальный порог: СОШ № 67 (химия – 22,2%, биология – 16,7%, история – 9,1%, география – 50,0%, обществознание – 5,4%, английский язык – 11,1%), СОШ № 70 (математика профильный уровень – 14,3%, русский язык – 3,7%, история – 25,0%, обществознание – 16,7%, информатика и ИКТ – 50,0%, биология – 10,0%), Лицей №24 им. М.М.Расковой (математика профильный уровень – 10,3%, русский язык – 1,5%, информатика и ИКТ – 11,8%, биология – 25%, обществознание – 15,8%, базовая математика </w:t>
      </w:r>
      <w:r>
        <w:rPr>
          <w:color w:val="000000"/>
        </w:rPr>
        <w:t>–</w:t>
      </w:r>
      <w:r>
        <w:t xml:space="preserve"> 3,1%), СОШ «Аврора» (математика профильный уровень – 12,5%, физика – 16,7%, химия – 20,0%, информатика и ИКТ – 50,0%, биология – 0,2%, обществознание – 5,0%).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 xml:space="preserve">По семи предметам не перешагнули минимальный порог выпускники из СОШ № 73 (математика профильный уровень – 20,0%, физика – 25,0%, история – 33,3%, информатика и ИКТ – 20,0%, биология – 83,3%, обществознание – 66,7% и базовая математика </w:t>
      </w:r>
      <w:r>
        <w:rPr>
          <w:color w:val="000000"/>
        </w:rPr>
        <w:t>–</w:t>
      </w:r>
      <w:r>
        <w:t xml:space="preserve"> 4,3%)  Лицея «Солярис» (математика профильный уровень – 2,4%, физика – 5,3%, информатика и ИКТ – 5,6%, биология – 8,3%, английский язык – 14,3%, литература – 12,5%, обществознание – 6,3%).</w:t>
      </w:r>
    </w:p>
    <w:p w:rsidR="00C519AE" w:rsidRDefault="00C519AE" w:rsidP="00C519AE">
      <w:pPr>
        <w:spacing w:after="0" w:line="240" w:lineRule="auto"/>
        <w:ind w:firstLine="709"/>
        <w:jc w:val="both"/>
        <w:rPr>
          <w:color w:val="000000"/>
        </w:rPr>
      </w:pPr>
      <w:r>
        <w:lastRenderedPageBreak/>
        <w:t xml:space="preserve">Наибольшая доля недостижения минимального порога в </w:t>
      </w:r>
      <w:r>
        <w:rPr>
          <w:color w:val="000000"/>
        </w:rPr>
        <w:t>разрезе предметов (вне зависимости от количества участников экзамена):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математике профильного уровня – СОШ № 73 (20,0%), </w:t>
      </w:r>
      <w:r>
        <w:t>Гимназия № 31</w:t>
      </w:r>
      <w:r>
        <w:rPr>
          <w:color w:val="000000"/>
        </w:rPr>
        <w:t xml:space="preserve"> (14,3%), Кировский район – 4,7%, Саратовская область – 7,3%;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 физике – СОШ № 73 (25,0%), Кировский район – 5,3%, Саратовская область – 7,38%;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химии – СОШ № 67 им. О.И. Янковского (22,2%), </w:t>
      </w:r>
      <w:r>
        <w:t>СОШ «Аврора»</w:t>
      </w:r>
      <w:r>
        <w:rPr>
          <w:color w:val="000000"/>
        </w:rPr>
        <w:t xml:space="preserve"> (20,0%), Кировский район – 7,8%, Саратовская область – 16%;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информатике и ИКТ – СОШ № 70 и </w:t>
      </w:r>
      <w:r>
        <w:t>СОШ «Аврора»</w:t>
      </w:r>
      <w:r>
        <w:rPr>
          <w:color w:val="000000"/>
        </w:rPr>
        <w:t xml:space="preserve"> (по 50,0%), Кировский район – 10,1%, Саратовская область – 12,78%;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 биологии – СКШ №1 им Б.Н.Ерёмина (100% - 1выпускник), СОШ №73 (83,3%), Кировский район – 13,3%, Саратовская область – 19,49%;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 истории – СОШ № 73 и Лицей «Звезда» (по 33,3%), Кировский район – 8,1%, Саратовская область – 6,36%;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географии </w:t>
      </w:r>
      <w:r>
        <w:rPr>
          <w:color w:val="000000"/>
        </w:rPr>
        <w:softHyphen/>
        <w:t>– СОШ № 67 (50,0%), Кировский район – 6,7%, Саратовская область – 10,08%;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литературе – </w:t>
      </w:r>
      <w:r>
        <w:t>Лицей «Солярис»</w:t>
      </w:r>
      <w:r>
        <w:rPr>
          <w:color w:val="000000"/>
        </w:rPr>
        <w:t xml:space="preserve"> (12,5%), Кировский район – 2,2%, Саратовская область – 2,72%;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английский язык  – </w:t>
      </w:r>
      <w:r>
        <w:t>Лицей «Солярис»</w:t>
      </w:r>
      <w:r>
        <w:rPr>
          <w:color w:val="000000"/>
        </w:rPr>
        <w:t xml:space="preserve"> (14,3%), СОШ № 67 </w:t>
      </w:r>
      <w:r>
        <w:rPr>
          <w:color w:val="000000"/>
        </w:rPr>
        <w:br/>
        <w:t>им. О.И. Янковского (11,1%), Кировский район – 2,6%, Саратовская область – 3,48%;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 математике базового уровня – Гимназия № 31 (5,0%), Кировский район – 1,7%, Саратовская область – 2,36%;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 обществознанию – СОШ № 73 (66,7%) и СКШ №1 им. Б.Н.Ерёмина (40%), Кировский район – 11,1%, Саратовская область – 11,98%.</w:t>
      </w:r>
    </w:p>
    <w:p w:rsidR="00C519AE" w:rsidRDefault="00C519AE" w:rsidP="00C519AE">
      <w:pPr>
        <w:tabs>
          <w:tab w:val="left" w:pos="7371"/>
        </w:tabs>
        <w:spacing w:after="0" w:line="240" w:lineRule="auto"/>
        <w:ind w:firstLine="709"/>
        <w:jc w:val="both"/>
      </w:pPr>
      <w:r>
        <w:t>В 2022 году в Кировском районе участники ЕГЭ не получили более 80 баллов по географии и физике.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>Лидеры по проценту высокобалльников: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 русскому языку – ЛМИ (70,0%), Лицей-интернат 64 (37,8%);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 математике профильного уровня – ЛМИ (13,5%); «Лицей-интернат 64» (11,5%);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 химии – ЛМИ</w:t>
      </w:r>
      <w:r>
        <w:rPr>
          <w:color w:val="000000"/>
        </w:rPr>
        <w:t xml:space="preserve"> (100% -1 выпускник), </w:t>
      </w:r>
      <w:r>
        <w:t>СОШ № 71 (50,0%);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 информатике и ИКТ – СОШ № 51 (42,9%), ЛМИ</w:t>
      </w:r>
      <w:r>
        <w:rPr>
          <w:color w:val="000000"/>
        </w:rPr>
        <w:t xml:space="preserve"> (38,9%)</w:t>
      </w:r>
      <w:r>
        <w:t>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 биологии – СОШ № 51 и СОШ «Аврора» (по 16,7%);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 истории – ЛМИ (55,6%);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по английскому языку – СОШ № 54 (100% – </w:t>
      </w:r>
      <w:r>
        <w:rPr>
          <w:color w:val="000000"/>
        </w:rPr>
        <w:t>2 выпускника</w:t>
      </w:r>
      <w:r>
        <w:t xml:space="preserve">), СОШ № 70 (100% – </w:t>
      </w:r>
      <w:r>
        <w:rPr>
          <w:color w:val="000000"/>
        </w:rPr>
        <w:t>1 выпускник</w:t>
      </w:r>
      <w:r>
        <w:t xml:space="preserve">), Лицей №24 им. М.М.Расковой (100% – </w:t>
      </w:r>
      <w:r>
        <w:rPr>
          <w:color w:val="000000"/>
        </w:rPr>
        <w:t>1 выпускник</w:t>
      </w:r>
      <w:r>
        <w:t>), ЛМИ (91,7%);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 обществознанию – ЛМИ (66,7%);</w:t>
      </w:r>
    </w:p>
    <w:p w:rsidR="00C519AE" w:rsidRDefault="00C519AE" w:rsidP="00C519A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по литературе – СОШ № 51 (100% – </w:t>
      </w:r>
      <w:r>
        <w:rPr>
          <w:color w:val="000000"/>
        </w:rPr>
        <w:t>1 выпускник</w:t>
      </w:r>
      <w:r>
        <w:t>), ЛМИ (75%).</w:t>
      </w:r>
    </w:p>
    <w:p w:rsidR="00C519AE" w:rsidRDefault="00C519AE" w:rsidP="00C519AE">
      <w:pPr>
        <w:spacing w:after="0" w:line="240" w:lineRule="auto"/>
        <w:ind w:firstLine="708"/>
        <w:jc w:val="both"/>
      </w:pPr>
      <w:r>
        <w:t>По итогам ЕГЭ в текущем году три выпускника из образовательных организаций получили максимальные 100 баллов, в том числе одна выпускница получила 100 баллов сразу по двум предметам:</w:t>
      </w:r>
    </w:p>
    <w:p w:rsidR="00C519AE" w:rsidRDefault="00C519AE" w:rsidP="00C519AE">
      <w:pPr>
        <w:spacing w:after="0" w:line="240" w:lineRule="auto"/>
        <w:ind w:firstLine="708"/>
        <w:jc w:val="both"/>
      </w:pPr>
      <w:r>
        <w:t>СОШ № 67 (по русскому языку и химии – 1 выпускница);</w:t>
      </w:r>
    </w:p>
    <w:p w:rsidR="00C519AE" w:rsidRDefault="00C519AE" w:rsidP="00C519AE">
      <w:pPr>
        <w:spacing w:after="0" w:line="240" w:lineRule="auto"/>
        <w:ind w:firstLine="708"/>
        <w:jc w:val="both"/>
      </w:pPr>
      <w:r>
        <w:lastRenderedPageBreak/>
        <w:t>Лицей-интернат 64 (по информатике и ИКТ – 1 выпускник);</w:t>
      </w:r>
    </w:p>
    <w:p w:rsidR="00C519AE" w:rsidRDefault="00C519AE" w:rsidP="00C519AE">
      <w:pPr>
        <w:spacing w:after="0" w:line="240" w:lineRule="auto"/>
        <w:ind w:firstLine="708"/>
        <w:jc w:val="both"/>
      </w:pPr>
      <w:r>
        <w:t xml:space="preserve">Гимназия № 31 (по русскому языку – 1 выпускница). 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t xml:space="preserve">По итогам 2022 года в Кировском районе </w:t>
      </w:r>
      <w:r>
        <w:rPr>
          <w:color w:val="000000"/>
        </w:rPr>
        <w:t xml:space="preserve">г. Саратова 46 выпускников из 11 учреждений получили аттестат особого образца: 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МАОУ</w:t>
      </w:r>
      <w:r>
        <w:t xml:space="preserve"> «Лицей-интернат 64» </w:t>
      </w:r>
      <w:r>
        <w:rPr>
          <w:color w:val="000000"/>
        </w:rPr>
        <w:t>–16 выпускников;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highlight w:val="yellow"/>
        </w:rPr>
      </w:pPr>
      <w:r>
        <w:rPr>
          <w:color w:val="000000"/>
        </w:rPr>
        <w:t>МАОУ Лицей «Солярис» – 1 выпускник;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МАОУ СОШ № 21 – 2 выпускника;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МАОУ СОШ № 51 – 4 выпускника;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t>МОУ Гимназия № 31</w:t>
      </w:r>
      <w:r>
        <w:rPr>
          <w:color w:val="000000"/>
        </w:rPr>
        <w:t>– 2 выпускника;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МОУ СОШ № 71 –2 выпускника;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МАОУ Лицей «Математики и информатики» – 2 выпускника;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МАОУ Лицей №24 им. М.М.Расковой – 5 выпускников;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МОУ </w:t>
      </w:r>
      <w:r>
        <w:t xml:space="preserve">СОШ «Аврора» </w:t>
      </w:r>
      <w:r>
        <w:rPr>
          <w:color w:val="000000"/>
        </w:rPr>
        <w:t>– 5 выпускников;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МАОУ СОШ № 54 – 2 выпускника;</w:t>
      </w:r>
    </w:p>
    <w:p w:rsidR="00C519AE" w:rsidRDefault="00C519AE" w:rsidP="00C519AE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МОУ СОШ № 67 – 5 выпускников.</w:t>
      </w:r>
    </w:p>
    <w:p w:rsidR="00C519AE" w:rsidRDefault="00C519AE" w:rsidP="00C519AE">
      <w:pPr>
        <w:spacing w:after="0" w:line="240" w:lineRule="auto"/>
        <w:ind w:firstLine="709"/>
        <w:jc w:val="both"/>
      </w:pPr>
      <w:r>
        <w:t>Не получили аттестат</w:t>
      </w:r>
      <w:r>
        <w:rPr>
          <w:b/>
        </w:rPr>
        <w:t xml:space="preserve"> </w:t>
      </w:r>
      <w:r>
        <w:t xml:space="preserve">о среднем общем образовании 9 выпускников Кировского района, три из которых не были допущены до ГИА-11 в 2022 году. </w:t>
      </w:r>
    </w:p>
    <w:p w:rsidR="00C519AE" w:rsidRDefault="00C519AE" w:rsidP="00C519AE">
      <w:pPr>
        <w:spacing w:after="0" w:line="240" w:lineRule="auto"/>
        <w:ind w:firstLine="709"/>
        <w:jc w:val="both"/>
      </w:pPr>
    </w:p>
    <w:p w:rsidR="00C519AE" w:rsidRDefault="00C519AE" w:rsidP="00C519AE">
      <w:pPr>
        <w:spacing w:after="0" w:line="240" w:lineRule="auto"/>
        <w:ind w:firstLine="709"/>
        <w:jc w:val="both"/>
      </w:pPr>
      <w:r>
        <w:rPr>
          <w:b/>
          <w:u w:val="single"/>
        </w:rPr>
        <w:t>Итоговое сочинение</w:t>
      </w:r>
      <w:r>
        <w:t xml:space="preserve"> в Кировском районе писали 658 выпускников образовательных организаций, а так же 3 участника – итоговое </w:t>
      </w:r>
      <w:r>
        <w:rPr>
          <w:b/>
          <w:u w:val="single"/>
        </w:rPr>
        <w:t>изложение</w:t>
      </w:r>
      <w:r>
        <w:t>. Работы всех участников оценены положительно – «зачет».</w:t>
      </w:r>
    </w:p>
    <w:p w:rsidR="0082758F" w:rsidRDefault="0082758F" w:rsidP="00FF3026">
      <w:pPr>
        <w:spacing w:after="0" w:line="240" w:lineRule="auto"/>
        <w:ind w:firstLine="709"/>
        <w:jc w:val="both"/>
      </w:pPr>
    </w:p>
    <w:p w:rsidR="00B9787B" w:rsidRPr="00C519AE" w:rsidRDefault="00B9787B" w:rsidP="00B9787B">
      <w:pPr>
        <w:spacing w:after="0" w:line="240" w:lineRule="auto"/>
        <w:ind w:firstLine="709"/>
        <w:rPr>
          <w:b/>
        </w:rPr>
      </w:pPr>
      <w:r w:rsidRPr="00C519AE">
        <w:rPr>
          <w:b/>
          <w:u w:val="single"/>
        </w:rPr>
        <w:t>Результаты государственной итоговой аттестации в 9 классах</w:t>
      </w:r>
      <w:r w:rsidRPr="00C519AE">
        <w:rPr>
          <w:b/>
        </w:rPr>
        <w:t xml:space="preserve">. </w:t>
      </w:r>
    </w:p>
    <w:p w:rsidR="00FF3026" w:rsidRPr="00C519AE" w:rsidRDefault="00FF3026" w:rsidP="00FF3026">
      <w:pPr>
        <w:spacing w:after="0" w:line="240" w:lineRule="auto"/>
        <w:ind w:firstLine="708"/>
        <w:jc w:val="both"/>
      </w:pPr>
      <w:r w:rsidRPr="00C519AE">
        <w:t xml:space="preserve">В Государственной итоговой аттестации </w:t>
      </w:r>
      <w:r w:rsidRPr="00C519AE">
        <w:rPr>
          <w:b/>
        </w:rPr>
        <w:t>202</w:t>
      </w:r>
      <w:r w:rsidR="00767271" w:rsidRPr="00C519AE">
        <w:rPr>
          <w:b/>
        </w:rPr>
        <w:t>2</w:t>
      </w:r>
      <w:r w:rsidRPr="00C519AE">
        <w:rPr>
          <w:b/>
        </w:rPr>
        <w:t xml:space="preserve"> года</w:t>
      </w:r>
      <w:r w:rsidRPr="00C519AE">
        <w:t xml:space="preserve"> в форме </w:t>
      </w:r>
      <w:r w:rsidRPr="00C519AE">
        <w:rPr>
          <w:b/>
        </w:rPr>
        <w:t xml:space="preserve">ОГЭ </w:t>
      </w:r>
      <w:r w:rsidRPr="00C519AE">
        <w:t xml:space="preserve">в Кировском районе приняли участие </w:t>
      </w:r>
      <w:r w:rsidR="00767271" w:rsidRPr="00C519AE">
        <w:t>1</w:t>
      </w:r>
      <w:r w:rsidR="006367B7" w:rsidRPr="00C519AE">
        <w:t>199</w:t>
      </w:r>
      <w:r w:rsidRPr="00C519AE">
        <w:t xml:space="preserve"> выпускник</w:t>
      </w:r>
      <w:r w:rsidR="006367B7" w:rsidRPr="00C519AE">
        <w:t>ов</w:t>
      </w:r>
      <w:r w:rsidRPr="00C519AE">
        <w:t xml:space="preserve">, в форме </w:t>
      </w:r>
      <w:r w:rsidRPr="00C519AE">
        <w:rPr>
          <w:b/>
        </w:rPr>
        <w:t xml:space="preserve">ГВЭ – </w:t>
      </w:r>
      <w:r w:rsidRPr="00C519AE">
        <w:t>1</w:t>
      </w:r>
      <w:r w:rsidR="00767271" w:rsidRPr="00C519AE">
        <w:t xml:space="preserve"> человек</w:t>
      </w:r>
      <w:r w:rsidRPr="00C519AE">
        <w:t xml:space="preserve"> из 17 образовательных организаций.</w:t>
      </w:r>
    </w:p>
    <w:p w:rsidR="00FF3026" w:rsidRPr="00C519AE" w:rsidRDefault="00767271" w:rsidP="00FF3026">
      <w:pPr>
        <w:spacing w:after="0" w:line="240" w:lineRule="auto"/>
        <w:ind w:firstLine="708"/>
        <w:jc w:val="both"/>
      </w:pPr>
      <w:r w:rsidRPr="00C519AE">
        <w:t>Выпускники принимали участие в государственной итоговой аттестации в форме ОГЭ по двум обязательным предметам (русский язык и математика), а также по предметам по выбору. В общей сложности было сдано 4842 человеко-экзамена.</w:t>
      </w:r>
    </w:p>
    <w:p w:rsidR="00FF3026" w:rsidRDefault="00FF3026" w:rsidP="00FF3026">
      <w:pPr>
        <w:spacing w:after="0" w:line="240" w:lineRule="auto"/>
        <w:ind w:firstLine="708"/>
        <w:jc w:val="both"/>
      </w:pPr>
      <w:r w:rsidRPr="00C519AE">
        <w:t>В 202</w:t>
      </w:r>
      <w:r w:rsidR="00767271" w:rsidRPr="00C519AE">
        <w:t>2</w:t>
      </w:r>
      <w:r w:rsidRPr="00C519AE">
        <w:t xml:space="preserve"> году в Кировском районе по </w:t>
      </w:r>
      <w:r w:rsidR="00A62397" w:rsidRPr="00C519AE">
        <w:t>результатам</w:t>
      </w:r>
      <w:r w:rsidRPr="00C519AE">
        <w:t xml:space="preserve"> государственной итоговой аттестации </w:t>
      </w:r>
      <w:r w:rsidR="00424834" w:rsidRPr="00C519AE">
        <w:t>9</w:t>
      </w:r>
      <w:r w:rsidRPr="00C519AE">
        <w:t xml:space="preserve"> выпускник</w:t>
      </w:r>
      <w:r w:rsidR="00424834" w:rsidRPr="00C519AE">
        <w:t>ов не</w:t>
      </w:r>
      <w:r w:rsidRPr="00C519AE">
        <w:t xml:space="preserve"> получили аттеста</w:t>
      </w:r>
      <w:r w:rsidR="00424834" w:rsidRPr="00C519AE">
        <w:t>т об основном общем образовании из следующих образовательных организаций: МОУ «ООШ № 17» - 3 выпускника, МАОУ «СОШ № 21 им. П.А. Столыпина» - 1 выпускник, МОУ «СОШ № 73 им.</w:t>
      </w:r>
      <w:r w:rsidR="00A62397" w:rsidRPr="00C519AE">
        <w:t xml:space="preserve"> К.Д. Шукшина» - 3 выпускника, МАОУ «СОШ «Аврора» - 1 выпускник, ГБОУ «Саратовская кадетская школа-интернат № 1 им. Б.Н. Ерёмина» - 1 выпускник.</w:t>
      </w:r>
    </w:p>
    <w:p w:rsidR="00C519AE" w:rsidRPr="00C519AE" w:rsidRDefault="00C519AE" w:rsidP="00FF3026">
      <w:pPr>
        <w:spacing w:after="0" w:line="240" w:lineRule="auto"/>
        <w:ind w:firstLine="708"/>
        <w:jc w:val="both"/>
      </w:pPr>
    </w:p>
    <w:p w:rsidR="00FF3026" w:rsidRDefault="00FF3026" w:rsidP="00FF3026">
      <w:pPr>
        <w:spacing w:after="0" w:line="240" w:lineRule="auto"/>
        <w:ind w:firstLine="709"/>
        <w:jc w:val="both"/>
      </w:pPr>
      <w:r w:rsidRPr="00C519AE">
        <w:rPr>
          <w:b/>
          <w:u w:val="single"/>
        </w:rPr>
        <w:t>В итоговом собеседовании</w:t>
      </w:r>
      <w:r w:rsidRPr="00C519AE">
        <w:t xml:space="preserve"> принимали участие </w:t>
      </w:r>
      <w:r w:rsidR="00767271" w:rsidRPr="00C519AE">
        <w:t xml:space="preserve">1200 </w:t>
      </w:r>
      <w:r w:rsidRPr="00C519AE">
        <w:t>учащихся, все получили «зачет».</w:t>
      </w:r>
    </w:p>
    <w:p w:rsidR="00C519AE" w:rsidRDefault="00C519AE" w:rsidP="00FF3026">
      <w:pPr>
        <w:spacing w:after="0" w:line="240" w:lineRule="auto"/>
        <w:ind w:firstLine="709"/>
        <w:jc w:val="both"/>
      </w:pPr>
    </w:p>
    <w:p w:rsidR="00C519AE" w:rsidRDefault="00C519AE" w:rsidP="00FF3026">
      <w:pPr>
        <w:spacing w:after="0" w:line="240" w:lineRule="auto"/>
        <w:ind w:firstLine="709"/>
        <w:jc w:val="both"/>
      </w:pPr>
    </w:p>
    <w:p w:rsidR="00C519AE" w:rsidRDefault="00C519AE" w:rsidP="00FF3026">
      <w:pPr>
        <w:spacing w:after="0" w:line="240" w:lineRule="auto"/>
        <w:ind w:firstLine="709"/>
        <w:jc w:val="both"/>
      </w:pPr>
    </w:p>
    <w:p w:rsidR="00C519AE" w:rsidRPr="00C519AE" w:rsidRDefault="00C519AE" w:rsidP="00FF3026">
      <w:pPr>
        <w:spacing w:after="0" w:line="240" w:lineRule="auto"/>
        <w:ind w:firstLine="709"/>
        <w:jc w:val="both"/>
      </w:pPr>
    </w:p>
    <w:p w:rsidR="00FF3026" w:rsidRPr="00C519AE" w:rsidRDefault="00FF3026" w:rsidP="00FF3026">
      <w:pPr>
        <w:spacing w:after="0" w:line="240" w:lineRule="auto"/>
        <w:ind w:firstLine="709"/>
        <w:jc w:val="center"/>
      </w:pPr>
      <w:r w:rsidRPr="00C519AE">
        <w:lastRenderedPageBreak/>
        <w:t>Динамика распределения по отметкам по итогам ГИА-9</w:t>
      </w:r>
      <w:r w:rsidRPr="00C519AE">
        <w:br/>
        <w:t>в 2019</w:t>
      </w:r>
      <w:r w:rsidR="00767271" w:rsidRPr="00C519AE">
        <w:t>, 2021</w:t>
      </w:r>
      <w:r w:rsidRPr="00C519AE">
        <w:t xml:space="preserve"> и 202</w:t>
      </w:r>
      <w:r w:rsidR="00767271" w:rsidRPr="00C519AE">
        <w:t>2</w:t>
      </w:r>
      <w:r w:rsidRPr="00C519AE">
        <w:t xml:space="preserve"> г.г.</w:t>
      </w:r>
    </w:p>
    <w:p w:rsidR="00FF3026" w:rsidRPr="00C519AE" w:rsidRDefault="00FF3026" w:rsidP="00FF3026">
      <w:pPr>
        <w:spacing w:after="0" w:line="240" w:lineRule="auto"/>
        <w:ind w:firstLine="709"/>
        <w:jc w:val="right"/>
      </w:pPr>
      <w:r w:rsidRPr="00C519AE">
        <w:t>Таблица 1</w:t>
      </w:r>
    </w:p>
    <w:tbl>
      <w:tblPr>
        <w:tblW w:w="49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711"/>
        <w:gridCol w:w="712"/>
        <w:gridCol w:w="712"/>
        <w:gridCol w:w="712"/>
        <w:gridCol w:w="712"/>
        <w:gridCol w:w="710"/>
        <w:gridCol w:w="710"/>
        <w:gridCol w:w="712"/>
        <w:gridCol w:w="709"/>
        <w:gridCol w:w="709"/>
        <w:gridCol w:w="709"/>
        <w:gridCol w:w="686"/>
      </w:tblGrid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601D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4" w:type="pct"/>
            <w:gridSpan w:val="3"/>
            <w:noWrap/>
            <w:vAlign w:val="center"/>
            <w:hideMark/>
          </w:tcPr>
          <w:p w:rsidR="00E55BC2" w:rsidRPr="00C519AE" w:rsidRDefault="00E55BC2" w:rsidP="00601D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«5», %</w:t>
            </w:r>
          </w:p>
        </w:tc>
        <w:tc>
          <w:tcPr>
            <w:tcW w:w="1123" w:type="pct"/>
            <w:gridSpan w:val="3"/>
            <w:noWrap/>
            <w:vAlign w:val="center"/>
            <w:hideMark/>
          </w:tcPr>
          <w:p w:rsidR="00E55BC2" w:rsidRPr="00C519AE" w:rsidRDefault="00E55BC2" w:rsidP="00601D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«4», %</w:t>
            </w:r>
          </w:p>
        </w:tc>
        <w:tc>
          <w:tcPr>
            <w:tcW w:w="1122" w:type="pct"/>
            <w:gridSpan w:val="3"/>
            <w:noWrap/>
            <w:vAlign w:val="center"/>
            <w:hideMark/>
          </w:tcPr>
          <w:p w:rsidR="00E55BC2" w:rsidRPr="00C519AE" w:rsidRDefault="00E55BC2" w:rsidP="00601D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«3», %</w:t>
            </w:r>
          </w:p>
        </w:tc>
        <w:tc>
          <w:tcPr>
            <w:tcW w:w="1108" w:type="pct"/>
            <w:gridSpan w:val="3"/>
            <w:noWrap/>
            <w:vAlign w:val="center"/>
            <w:hideMark/>
          </w:tcPr>
          <w:p w:rsidR="00E55BC2" w:rsidRPr="00C519AE" w:rsidRDefault="00E55BC2" w:rsidP="00601D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«2», %</w:t>
            </w:r>
          </w:p>
        </w:tc>
      </w:tr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375" w:type="pct"/>
            <w:vAlign w:val="center"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374" w:type="pct"/>
            <w:vAlign w:val="center"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373" w:type="pct"/>
            <w:vAlign w:val="center"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361" w:type="pct"/>
            <w:vAlign w:val="center"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</w:p>
        </w:tc>
      </w:tr>
      <w:tr w:rsidR="00E55BC2" w:rsidRPr="00C519AE" w:rsidTr="00E55BC2">
        <w:trPr>
          <w:trHeight w:val="312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29,1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val="en-US" w:eastAsia="ru-RU"/>
              </w:rPr>
              <w:t>28</w:t>
            </w: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519AE">
              <w:rPr>
                <w:rFonts w:eastAsia="Times New Roman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374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35,2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</w:tr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E55BC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</w:tr>
      <w:tr w:rsidR="00E55BC2" w:rsidRPr="00C519AE" w:rsidTr="00180A2F">
        <w:trPr>
          <w:trHeight w:val="443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F714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19AE">
              <w:rPr>
                <w:sz w:val="22"/>
                <w:szCs w:val="22"/>
              </w:rPr>
              <w:t>Физика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A57E68" w:rsidP="00A57E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val="en-US" w:eastAsia="ru-RU"/>
              </w:rPr>
              <w:t>41</w:t>
            </w: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519AE">
              <w:rPr>
                <w:rFonts w:eastAsia="Times New Roman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A57E68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A57E68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A57E68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A57E68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A57E68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A57E68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A57E68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E55BC2" w:rsidRPr="00C519AE" w:rsidTr="00180A2F">
        <w:trPr>
          <w:trHeight w:val="563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F714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19AE">
              <w:rPr>
                <w:sz w:val="22"/>
                <w:szCs w:val="22"/>
              </w:rPr>
              <w:t>Химия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32,6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F714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19AE">
              <w:rPr>
                <w:sz w:val="22"/>
                <w:szCs w:val="22"/>
              </w:rPr>
              <w:t>Информатика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31,9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53,</w:t>
            </w:r>
            <w:r w:rsidR="00CB4F0B" w:rsidRPr="00C519A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</w:tr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F714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19AE">
              <w:rPr>
                <w:sz w:val="22"/>
                <w:szCs w:val="22"/>
              </w:rPr>
              <w:t>Биология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52,7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38,8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44,2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012913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F714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19AE">
              <w:rPr>
                <w:sz w:val="22"/>
                <w:szCs w:val="22"/>
              </w:rPr>
              <w:t>География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2002CA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2002CA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13,1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2002CA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49,3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2002CA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45,8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2002CA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2002CA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40,1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2002CA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2002CA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CB4F0B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F714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19AE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8A3EB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A3EB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A3EB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A3EB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38,2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8A3EB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A3EB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8A3EB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8A3EB2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CB4F0B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</w:tr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F7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9A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5A42B9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5A42B9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5A42B9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5A42B9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5A42B9" w:rsidP="005A42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35,2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5A42B9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46,</w:t>
            </w:r>
            <w:r w:rsidR="00CB4F0B" w:rsidRPr="00C519A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5A42B9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5A42B9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CB4F0B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</w:tr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F7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9AE">
              <w:rPr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48,1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49,1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40,</w:t>
            </w:r>
            <w:r w:rsidR="00CB4F0B" w:rsidRPr="00C519A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CB4F0B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E55BC2" w:rsidRPr="00C519AE" w:rsidTr="00E55BC2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E55BC2" w:rsidRPr="00C519AE" w:rsidRDefault="00E55BC2" w:rsidP="00F7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9AE">
              <w:rPr>
                <w:sz w:val="24"/>
                <w:szCs w:val="24"/>
              </w:rPr>
              <w:t>Литература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E55BC2" w:rsidRPr="00C519AE" w:rsidRDefault="006367B7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E55BC2" w:rsidRPr="00C519AE" w:rsidRDefault="004E046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374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75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vAlign w:val="center"/>
          </w:tcPr>
          <w:p w:rsidR="00E55BC2" w:rsidRPr="00C519AE" w:rsidRDefault="009421D1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3" w:type="pct"/>
            <w:noWrap/>
            <w:vAlign w:val="center"/>
            <w:hideMark/>
          </w:tcPr>
          <w:p w:rsidR="00E55BC2" w:rsidRPr="00C519AE" w:rsidRDefault="00874BF0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1" w:type="pct"/>
            <w:vAlign w:val="center"/>
          </w:tcPr>
          <w:p w:rsidR="00E55BC2" w:rsidRPr="00C519AE" w:rsidRDefault="00CB4F0B" w:rsidP="00E55B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9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FF3026" w:rsidRPr="00C519AE" w:rsidRDefault="00FF3026" w:rsidP="00FF3026">
      <w:pPr>
        <w:spacing w:after="0" w:line="240" w:lineRule="auto"/>
        <w:ind w:firstLine="709"/>
        <w:jc w:val="both"/>
      </w:pPr>
    </w:p>
    <w:p w:rsidR="00A62397" w:rsidRPr="00C519AE" w:rsidRDefault="00A62397" w:rsidP="00A62397">
      <w:pPr>
        <w:spacing w:after="0" w:line="240" w:lineRule="auto"/>
        <w:ind w:firstLine="708"/>
        <w:jc w:val="both"/>
      </w:pPr>
      <w:r w:rsidRPr="00C519AE">
        <w:t xml:space="preserve">В </w:t>
      </w:r>
      <w:r w:rsidRPr="00C519AE">
        <w:rPr>
          <w:b/>
        </w:rPr>
        <w:t>2020 году ОГЭ</w:t>
      </w:r>
      <w:r w:rsidRPr="00C519AE">
        <w:t xml:space="preserve"> не проводился. В 2021 году ОГЭ проводился только по двум обязательным предметам (русскому языку и математике).</w:t>
      </w:r>
    </w:p>
    <w:p w:rsidR="0011053D" w:rsidRPr="00C519AE" w:rsidRDefault="0011053D" w:rsidP="0028405A">
      <w:pPr>
        <w:spacing w:after="0" w:line="240" w:lineRule="auto"/>
        <w:rPr>
          <w:b/>
          <w:u w:val="single"/>
        </w:rPr>
      </w:pPr>
    </w:p>
    <w:p w:rsidR="0055774B" w:rsidRPr="00C519AE" w:rsidRDefault="0055774B" w:rsidP="00180A2F">
      <w:pPr>
        <w:spacing w:after="0" w:line="240" w:lineRule="auto"/>
        <w:jc w:val="center"/>
        <w:rPr>
          <w:b/>
          <w:u w:val="single"/>
        </w:rPr>
      </w:pPr>
      <w:r w:rsidRPr="00C519AE">
        <w:rPr>
          <w:b/>
          <w:u w:val="single"/>
        </w:rPr>
        <w:t>Результаты региональных проверочных работ (РПР)</w:t>
      </w:r>
    </w:p>
    <w:p w:rsidR="0055774B" w:rsidRPr="00C519AE" w:rsidRDefault="0055774B" w:rsidP="0055774B">
      <w:pPr>
        <w:spacing w:after="0" w:line="240" w:lineRule="auto"/>
        <w:ind w:firstLine="709"/>
        <w:jc w:val="right"/>
        <w:rPr>
          <w:b/>
          <w:u w:val="single"/>
        </w:rPr>
      </w:pPr>
      <w:r w:rsidRPr="00C519AE">
        <w:t xml:space="preserve">Таблица </w:t>
      </w:r>
      <w:r w:rsidR="00180A2F" w:rsidRPr="00C519AE">
        <w:t>2</w:t>
      </w:r>
      <w:r w:rsidRPr="00C519AE">
        <w:rPr>
          <w:b/>
          <w:u w:val="single"/>
        </w:rPr>
        <w:t xml:space="preserve"> </w:t>
      </w:r>
    </w:p>
    <w:tbl>
      <w:tblPr>
        <w:tblW w:w="9356" w:type="dxa"/>
        <w:tblInd w:w="108" w:type="dxa"/>
        <w:tblLayout w:type="fixed"/>
        <w:tblLook w:val="04A0"/>
      </w:tblPr>
      <w:tblGrid>
        <w:gridCol w:w="2079"/>
        <w:gridCol w:w="909"/>
        <w:gridCol w:w="910"/>
        <w:gridCol w:w="909"/>
        <w:gridCol w:w="910"/>
        <w:gridCol w:w="910"/>
        <w:gridCol w:w="909"/>
        <w:gridCol w:w="910"/>
        <w:gridCol w:w="910"/>
      </w:tblGrid>
      <w:tr w:rsidR="00180A2F" w:rsidRPr="00C519AE" w:rsidTr="00180A2F">
        <w:trPr>
          <w:trHeight w:val="30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2019-2020  учебный год</w:t>
            </w:r>
          </w:p>
        </w:tc>
      </w:tr>
      <w:tr w:rsidR="00180A2F" w:rsidRPr="00C519AE" w:rsidTr="0067686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80A2F" w:rsidRPr="00C519AE" w:rsidTr="0067686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902 участников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180A2F" w:rsidRPr="00C519AE" w:rsidTr="0067686B">
        <w:trPr>
          <w:trHeight w:val="300"/>
        </w:trPr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2020-2021 учебный год</w:t>
            </w:r>
          </w:p>
        </w:tc>
      </w:tr>
      <w:tr w:rsidR="00180A2F" w:rsidRPr="00C519AE" w:rsidTr="0067686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80A2F" w:rsidRPr="00C519AE" w:rsidTr="0067686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889 участников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29</w:t>
            </w:r>
          </w:p>
        </w:tc>
      </w:tr>
      <w:tr w:rsidR="00180A2F" w:rsidRPr="00C519AE" w:rsidTr="0067686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80A2F" w:rsidRPr="00C519AE" w:rsidTr="0067686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894 участника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35,9</w:t>
            </w:r>
          </w:p>
        </w:tc>
      </w:tr>
      <w:tr w:rsidR="0055774B" w:rsidRPr="00C519AE" w:rsidTr="0011053D">
        <w:trPr>
          <w:trHeight w:val="30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4B" w:rsidRPr="00C519AE" w:rsidRDefault="00180A2F" w:rsidP="00E038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2021-2022 учебный год</w:t>
            </w:r>
          </w:p>
        </w:tc>
      </w:tr>
      <w:tr w:rsidR="00180A2F" w:rsidRPr="00C519AE" w:rsidTr="0067686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5774B" w:rsidRPr="00C519AE" w:rsidTr="00180A2F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164A07" w:rsidP="00620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620039"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 w:rsidR="004A7D95"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E03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620039"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E03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620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620039"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BA4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</w:t>
            </w:r>
            <w:r w:rsidR="00BA4A78"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620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620039"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BA4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</w:t>
            </w:r>
            <w:r w:rsidR="00BA4A78"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620039" w:rsidP="00E03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BA4A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</w:t>
            </w:r>
            <w:r w:rsidR="00BA4A78"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A2F" w:rsidRPr="00C519AE" w:rsidTr="0067686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0A2F" w:rsidRPr="00C519AE" w:rsidRDefault="00180A2F" w:rsidP="006768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5774B" w:rsidRPr="00C519AE" w:rsidTr="0011053D">
        <w:trPr>
          <w:trHeight w:val="32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774B" w:rsidRPr="00C519AE" w:rsidRDefault="004A7D95" w:rsidP="006200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620039"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  <w:r w:rsidRPr="00C519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E0385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C02FD7" w:rsidP="00BA4A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2,</w:t>
            </w:r>
            <w:r w:rsidR="00BA4A78" w:rsidRPr="00C519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6200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2</w:t>
            </w:r>
            <w:r w:rsidR="00620039" w:rsidRPr="00C519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BA4A78" w:rsidP="00461A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4A7D95" w:rsidP="006200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4</w:t>
            </w:r>
            <w:r w:rsidR="00620039" w:rsidRPr="00C519A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C02FD7" w:rsidP="00BA4A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42,</w:t>
            </w:r>
            <w:r w:rsidR="00BA4A78" w:rsidRPr="00C519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620039" w:rsidP="004A7D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774B" w:rsidRPr="00C519AE" w:rsidRDefault="00C02FD7" w:rsidP="00BA4A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9AE">
              <w:rPr>
                <w:color w:val="000000"/>
                <w:sz w:val="24"/>
                <w:szCs w:val="24"/>
              </w:rPr>
              <w:t>35,</w:t>
            </w:r>
            <w:r w:rsidR="00BA4A78" w:rsidRPr="00C519AE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55774B" w:rsidRPr="00C519AE" w:rsidRDefault="0055774B" w:rsidP="0055774B">
      <w:pPr>
        <w:spacing w:after="0" w:line="240" w:lineRule="auto"/>
        <w:ind w:firstLine="709"/>
        <w:jc w:val="both"/>
      </w:pPr>
      <w:r w:rsidRPr="00C519AE">
        <w:lastRenderedPageBreak/>
        <w:t xml:space="preserve">В 2019-2020 учебном году второй этап РПР не проводился в связи с карантинными мероприятиями в Саратовской области. </w:t>
      </w:r>
    </w:p>
    <w:p w:rsidR="0055774B" w:rsidRDefault="0055774B" w:rsidP="0055774B">
      <w:pPr>
        <w:spacing w:after="0" w:line="240" w:lineRule="auto"/>
        <w:ind w:firstLine="709"/>
        <w:jc w:val="both"/>
      </w:pPr>
      <w:r w:rsidRPr="00C519AE">
        <w:t>В целом по результатам РПР 202</w:t>
      </w:r>
      <w:r w:rsidR="006F019C" w:rsidRPr="00C519AE">
        <w:t>1</w:t>
      </w:r>
      <w:r w:rsidRPr="00C519AE">
        <w:t>-202</w:t>
      </w:r>
      <w:r w:rsidR="006F019C" w:rsidRPr="00C519AE">
        <w:t>2</w:t>
      </w:r>
      <w:r w:rsidRPr="00C519AE">
        <w:t xml:space="preserve"> года наблюдается </w:t>
      </w:r>
      <w:r w:rsidR="006F019C" w:rsidRPr="00C519AE">
        <w:t>увеличение</w:t>
      </w:r>
      <w:r w:rsidRPr="00C519AE">
        <w:t xml:space="preserve"> количества участников, получивших неудовлетворительный результат на </w:t>
      </w:r>
      <w:r w:rsidR="00E522B5" w:rsidRPr="00C519AE">
        <w:t>16,</w:t>
      </w:r>
      <w:r w:rsidR="00BA4A78" w:rsidRPr="00C519AE">
        <w:t>3</w:t>
      </w:r>
      <w:r w:rsidRPr="00C519AE">
        <w:t>%.</w:t>
      </w:r>
    </w:p>
    <w:p w:rsidR="0011053D" w:rsidRDefault="0011053D" w:rsidP="0011053D">
      <w:pPr>
        <w:tabs>
          <w:tab w:val="left" w:pos="709"/>
        </w:tabs>
        <w:spacing w:after="0" w:line="240" w:lineRule="auto"/>
        <w:ind w:firstLine="709"/>
        <w:jc w:val="both"/>
        <w:rPr>
          <w:b/>
          <w:u w:val="single"/>
        </w:rPr>
      </w:pPr>
    </w:p>
    <w:p w:rsidR="00B868F2" w:rsidRPr="00D3559B" w:rsidRDefault="00B868F2" w:rsidP="00B868F2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b/>
          <w:u w:val="single"/>
        </w:rPr>
      </w:pPr>
      <w:r w:rsidRPr="00D3559B">
        <w:rPr>
          <w:rFonts w:ascii="PT Astra Serif" w:hAnsi="PT Astra Serif"/>
          <w:b/>
          <w:u w:val="single"/>
        </w:rPr>
        <w:t>Имеющиеся на текущий момент данные по результатам ВПР 2022</w:t>
      </w:r>
    </w:p>
    <w:p w:rsidR="00B868F2" w:rsidRPr="00D3559B" w:rsidRDefault="00B868F2" w:rsidP="00B868F2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5"/>
        <w:gridCol w:w="968"/>
        <w:gridCol w:w="786"/>
        <w:gridCol w:w="786"/>
        <w:gridCol w:w="912"/>
        <w:gridCol w:w="834"/>
        <w:gridCol w:w="786"/>
        <w:gridCol w:w="889"/>
        <w:gridCol w:w="786"/>
        <w:gridCol w:w="786"/>
        <w:gridCol w:w="959"/>
      </w:tblGrid>
      <w:tr w:rsidR="00B868F2" w:rsidRPr="00B868F2" w:rsidTr="00B868F2">
        <w:tc>
          <w:tcPr>
            <w:tcW w:w="644" w:type="pct"/>
            <w:vMerge w:val="restart"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4356" w:type="pct"/>
            <w:gridSpan w:val="10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Качество знаний, %</w:t>
            </w:r>
          </w:p>
        </w:tc>
      </w:tr>
      <w:tr w:rsidR="005531B6" w:rsidRPr="00B868F2" w:rsidTr="009635F4">
        <w:tc>
          <w:tcPr>
            <w:tcW w:w="644" w:type="pct"/>
            <w:vMerge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4 класс/5(4)</w:t>
            </w:r>
          </w:p>
        </w:tc>
        <w:tc>
          <w:tcPr>
            <w:tcW w:w="871" w:type="pct"/>
            <w:gridSpan w:val="2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 xml:space="preserve">5 класс/6(5) 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 xml:space="preserve">6 класс/7(6) 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 xml:space="preserve">7 класс/8(7) </w:t>
            </w:r>
          </w:p>
        </w:tc>
        <w:tc>
          <w:tcPr>
            <w:tcW w:w="895" w:type="pct"/>
            <w:gridSpan w:val="2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8 класс/9(8)</w:t>
            </w:r>
          </w:p>
        </w:tc>
      </w:tr>
      <w:tr w:rsidR="005531B6" w:rsidRPr="00B868F2" w:rsidTr="009635F4">
        <w:trPr>
          <w:cantSplit/>
          <w:trHeight w:val="1637"/>
        </w:trPr>
        <w:tc>
          <w:tcPr>
            <w:tcW w:w="644" w:type="pct"/>
            <w:vMerge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B868F2" w:rsidRPr="00B868F2" w:rsidRDefault="009635F4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="00B868F2"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г. Саратова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9635F4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г. Саратова</w:t>
            </w:r>
          </w:p>
        </w:tc>
        <w:tc>
          <w:tcPr>
            <w:tcW w:w="428" w:type="pct"/>
            <w:shd w:val="clear" w:color="auto" w:fill="auto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9635F4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г. Саратова</w:t>
            </w:r>
          </w:p>
        </w:tc>
        <w:tc>
          <w:tcPr>
            <w:tcW w:w="456" w:type="pct"/>
            <w:shd w:val="clear" w:color="auto" w:fill="auto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9635F4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г. Саратова</w:t>
            </w:r>
          </w:p>
        </w:tc>
        <w:tc>
          <w:tcPr>
            <w:tcW w:w="403" w:type="pct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textDirection w:val="btLr"/>
            <w:vAlign w:val="center"/>
          </w:tcPr>
          <w:p w:rsidR="009635F4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г. Саратова</w:t>
            </w:r>
            <w:r w:rsidR="00B868F2" w:rsidRPr="00B868F2">
              <w:rPr>
                <w:sz w:val="20"/>
                <w:szCs w:val="20"/>
              </w:rPr>
              <w:t xml:space="preserve"> </w:t>
            </w:r>
          </w:p>
        </w:tc>
      </w:tr>
      <w:tr w:rsidR="005531B6" w:rsidRPr="00B868F2" w:rsidTr="009635F4">
        <w:tc>
          <w:tcPr>
            <w:tcW w:w="644" w:type="pct"/>
            <w:shd w:val="clear" w:color="auto" w:fill="auto"/>
          </w:tcPr>
          <w:p w:rsidR="00B868F2" w:rsidRPr="00B868F2" w:rsidRDefault="00B868F2" w:rsidP="00594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97" w:type="pct"/>
            <w:shd w:val="clear" w:color="auto" w:fill="auto"/>
          </w:tcPr>
          <w:p w:rsidR="00594057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635F4">
              <w:rPr>
                <w:sz w:val="22"/>
                <w:szCs w:val="22"/>
              </w:rPr>
              <w:t>63,15/</w:t>
            </w:r>
          </w:p>
          <w:p w:rsidR="00B868F2" w:rsidRPr="009635F4" w:rsidRDefault="0059405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57,78</w:t>
            </w:r>
          </w:p>
        </w:tc>
        <w:tc>
          <w:tcPr>
            <w:tcW w:w="403" w:type="pct"/>
            <w:shd w:val="clear" w:color="auto" w:fill="auto"/>
          </w:tcPr>
          <w:p w:rsidR="00B868F2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63,48/</w:t>
            </w:r>
          </w:p>
          <w:p w:rsidR="00594057" w:rsidRPr="009635F4" w:rsidRDefault="0059405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62,86</w:t>
            </w:r>
          </w:p>
        </w:tc>
        <w:tc>
          <w:tcPr>
            <w:tcW w:w="403" w:type="pct"/>
            <w:vAlign w:val="center"/>
          </w:tcPr>
          <w:p w:rsidR="005531B6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53,14/</w:t>
            </w:r>
          </w:p>
          <w:p w:rsidR="00B868F2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49,93</w:t>
            </w:r>
          </w:p>
        </w:tc>
        <w:tc>
          <w:tcPr>
            <w:tcW w:w="468" w:type="pct"/>
            <w:vAlign w:val="center"/>
          </w:tcPr>
          <w:p w:rsidR="00B868F2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46,70/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868F2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48,08/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868F2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42,44/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868F2" w:rsidRDefault="005567D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40,97/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868F2" w:rsidRDefault="005567D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36,61/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36,13</w:t>
            </w:r>
          </w:p>
        </w:tc>
        <w:tc>
          <w:tcPr>
            <w:tcW w:w="403" w:type="pct"/>
          </w:tcPr>
          <w:p w:rsidR="005531B6" w:rsidRDefault="0055061A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47,11/</w:t>
            </w:r>
          </w:p>
          <w:p w:rsidR="00B868F2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44,23</w:t>
            </w:r>
          </w:p>
        </w:tc>
        <w:tc>
          <w:tcPr>
            <w:tcW w:w="492" w:type="pct"/>
          </w:tcPr>
          <w:p w:rsidR="005531B6" w:rsidRDefault="0055061A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34,30/</w:t>
            </w:r>
          </w:p>
          <w:p w:rsidR="00B868F2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46,36</w:t>
            </w:r>
          </w:p>
        </w:tc>
      </w:tr>
      <w:tr w:rsidR="005531B6" w:rsidRPr="00B868F2" w:rsidTr="005531B6">
        <w:trPr>
          <w:trHeight w:val="587"/>
        </w:trPr>
        <w:tc>
          <w:tcPr>
            <w:tcW w:w="644" w:type="pct"/>
            <w:shd w:val="clear" w:color="auto" w:fill="auto"/>
          </w:tcPr>
          <w:p w:rsidR="009635F4" w:rsidRPr="00B868F2" w:rsidRDefault="009635F4" w:rsidP="00594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Математика</w:t>
            </w:r>
          </w:p>
        </w:tc>
        <w:tc>
          <w:tcPr>
            <w:tcW w:w="497" w:type="pct"/>
            <w:shd w:val="clear" w:color="auto" w:fill="auto"/>
          </w:tcPr>
          <w:p w:rsidR="009635F4" w:rsidRDefault="009635F4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71,59/</w:t>
            </w:r>
          </w:p>
          <w:p w:rsidR="00594057" w:rsidRPr="009635F4" w:rsidRDefault="00594057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70,54</w:t>
            </w:r>
          </w:p>
        </w:tc>
        <w:tc>
          <w:tcPr>
            <w:tcW w:w="403" w:type="pct"/>
            <w:shd w:val="clear" w:color="auto" w:fill="auto"/>
          </w:tcPr>
          <w:p w:rsidR="009635F4" w:rsidRDefault="009635F4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78,18/</w:t>
            </w:r>
          </w:p>
          <w:p w:rsidR="00594057" w:rsidRPr="009635F4" w:rsidRDefault="00594057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68,22</w:t>
            </w:r>
          </w:p>
        </w:tc>
        <w:tc>
          <w:tcPr>
            <w:tcW w:w="403" w:type="pct"/>
          </w:tcPr>
          <w:p w:rsidR="005531B6" w:rsidRDefault="009635F4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54,54/</w:t>
            </w:r>
          </w:p>
          <w:p w:rsidR="005531B6" w:rsidRPr="009635F4" w:rsidRDefault="005531B6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51,05</w:t>
            </w:r>
          </w:p>
        </w:tc>
        <w:tc>
          <w:tcPr>
            <w:tcW w:w="468" w:type="pct"/>
          </w:tcPr>
          <w:p w:rsidR="009635F4" w:rsidRDefault="009635F4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33,25/</w:t>
            </w:r>
          </w:p>
          <w:p w:rsidR="005531B6" w:rsidRPr="009635F4" w:rsidRDefault="005531B6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52,48</w:t>
            </w:r>
          </w:p>
        </w:tc>
        <w:tc>
          <w:tcPr>
            <w:tcW w:w="428" w:type="pct"/>
            <w:shd w:val="clear" w:color="auto" w:fill="auto"/>
          </w:tcPr>
          <w:p w:rsidR="005531B6" w:rsidRDefault="005567D7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39,75/</w:t>
            </w:r>
          </w:p>
          <w:p w:rsidR="009635F4" w:rsidRPr="009635F4" w:rsidRDefault="005531B6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36,78</w:t>
            </w:r>
          </w:p>
        </w:tc>
        <w:tc>
          <w:tcPr>
            <w:tcW w:w="403" w:type="pct"/>
            <w:shd w:val="clear" w:color="auto" w:fill="auto"/>
          </w:tcPr>
          <w:p w:rsidR="009635F4" w:rsidRDefault="005567D7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39,73/</w:t>
            </w:r>
          </w:p>
          <w:p w:rsidR="005531B6" w:rsidRPr="009635F4" w:rsidRDefault="005531B6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34,71</w:t>
            </w:r>
          </w:p>
        </w:tc>
        <w:tc>
          <w:tcPr>
            <w:tcW w:w="456" w:type="pct"/>
            <w:shd w:val="clear" w:color="auto" w:fill="auto"/>
          </w:tcPr>
          <w:p w:rsidR="009635F4" w:rsidRDefault="005567D7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40,29/</w:t>
            </w:r>
          </w:p>
          <w:p w:rsidR="005531B6" w:rsidRPr="009635F4" w:rsidRDefault="005531B6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34,23</w:t>
            </w:r>
          </w:p>
        </w:tc>
        <w:tc>
          <w:tcPr>
            <w:tcW w:w="403" w:type="pct"/>
            <w:shd w:val="clear" w:color="auto" w:fill="auto"/>
          </w:tcPr>
          <w:p w:rsidR="009635F4" w:rsidRDefault="005567D7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28,95/</w:t>
            </w:r>
          </w:p>
          <w:p w:rsidR="005531B6" w:rsidRPr="009635F4" w:rsidRDefault="005531B6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30,68</w:t>
            </w:r>
          </w:p>
        </w:tc>
        <w:tc>
          <w:tcPr>
            <w:tcW w:w="403" w:type="pct"/>
          </w:tcPr>
          <w:p w:rsidR="005531B6" w:rsidRDefault="0055061A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32,64</w:t>
            </w:r>
            <w:r w:rsidR="005531B6">
              <w:rPr>
                <w:sz w:val="22"/>
                <w:szCs w:val="22"/>
              </w:rPr>
              <w:t>/</w:t>
            </w:r>
          </w:p>
          <w:p w:rsidR="009635F4" w:rsidRPr="009635F4" w:rsidRDefault="005531B6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492" w:type="pct"/>
          </w:tcPr>
          <w:p w:rsidR="009635F4" w:rsidRPr="009635F4" w:rsidRDefault="0009732E" w:rsidP="005531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26,11</w:t>
            </w:r>
          </w:p>
        </w:tc>
      </w:tr>
    </w:tbl>
    <w:p w:rsidR="00B868F2" w:rsidRPr="00B868F2" w:rsidRDefault="00B868F2" w:rsidP="00594057">
      <w:pPr>
        <w:spacing w:after="0" w:line="240" w:lineRule="auto"/>
        <w:ind w:firstLine="709"/>
        <w:jc w:val="center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868F2" w:rsidRPr="00B868F2" w:rsidTr="00B868F2">
        <w:tc>
          <w:tcPr>
            <w:tcW w:w="1276" w:type="dxa"/>
            <w:vMerge w:val="restart"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8505" w:type="dxa"/>
            <w:gridSpan w:val="10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Успеваемость. %</w:t>
            </w:r>
          </w:p>
        </w:tc>
      </w:tr>
      <w:tr w:rsidR="00B868F2" w:rsidRPr="00B868F2" w:rsidTr="005567D7">
        <w:tc>
          <w:tcPr>
            <w:tcW w:w="1276" w:type="dxa"/>
            <w:vMerge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4 класс/5(4)</w:t>
            </w:r>
          </w:p>
        </w:tc>
        <w:tc>
          <w:tcPr>
            <w:tcW w:w="1701" w:type="dxa"/>
            <w:gridSpan w:val="2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 xml:space="preserve">5 класс/6(5)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 xml:space="preserve">6 класс/7(6)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 xml:space="preserve">7 класс/8(7) </w:t>
            </w:r>
          </w:p>
        </w:tc>
        <w:tc>
          <w:tcPr>
            <w:tcW w:w="1701" w:type="dxa"/>
            <w:gridSpan w:val="2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8 класс/9(8)</w:t>
            </w:r>
          </w:p>
        </w:tc>
      </w:tr>
      <w:tr w:rsidR="00B868F2" w:rsidRPr="00B868F2" w:rsidTr="005567D7">
        <w:trPr>
          <w:cantSplit/>
          <w:trHeight w:val="1629"/>
        </w:trPr>
        <w:tc>
          <w:tcPr>
            <w:tcW w:w="1276" w:type="dxa"/>
            <w:vMerge/>
            <w:shd w:val="clear" w:color="auto" w:fill="auto"/>
          </w:tcPr>
          <w:p w:rsidR="00B868F2" w:rsidRPr="00B868F2" w:rsidRDefault="00B868F2" w:rsidP="00D55C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635F4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г. Саратова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635F4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г. Саратова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635F4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г. Саратова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635F4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 xml:space="preserve">г. Саратова </w:t>
            </w:r>
          </w:p>
        </w:tc>
        <w:tc>
          <w:tcPr>
            <w:tcW w:w="851" w:type="dxa"/>
            <w:textDirection w:val="btLr"/>
            <w:vAlign w:val="center"/>
          </w:tcPr>
          <w:p w:rsidR="00B868F2" w:rsidRPr="00B868F2" w:rsidRDefault="00B868F2" w:rsidP="00D55C0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850" w:type="dxa"/>
            <w:textDirection w:val="btLr"/>
            <w:vAlign w:val="center"/>
          </w:tcPr>
          <w:p w:rsidR="009635F4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</w:t>
            </w:r>
            <w:r w:rsidRPr="00B868F2">
              <w:rPr>
                <w:sz w:val="20"/>
                <w:szCs w:val="20"/>
              </w:rPr>
              <w:t xml:space="preserve">район </w:t>
            </w:r>
          </w:p>
          <w:p w:rsidR="00B868F2" w:rsidRPr="00B868F2" w:rsidRDefault="009635F4" w:rsidP="009635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г. Саратова</w:t>
            </w:r>
          </w:p>
        </w:tc>
      </w:tr>
      <w:tr w:rsidR="009635F4" w:rsidRPr="00B868F2" w:rsidTr="005567D7">
        <w:tc>
          <w:tcPr>
            <w:tcW w:w="1276" w:type="dxa"/>
            <w:shd w:val="clear" w:color="auto" w:fill="auto"/>
          </w:tcPr>
          <w:p w:rsidR="009635F4" w:rsidRPr="00B868F2" w:rsidRDefault="009635F4" w:rsidP="00594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95,49/</w:t>
            </w:r>
          </w:p>
          <w:p w:rsidR="00594057" w:rsidRPr="009635F4" w:rsidRDefault="0059405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94,35/</w:t>
            </w:r>
          </w:p>
          <w:p w:rsidR="00594057" w:rsidRPr="009635F4" w:rsidRDefault="0059405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94,94</w:t>
            </w:r>
          </w:p>
        </w:tc>
        <w:tc>
          <w:tcPr>
            <w:tcW w:w="851" w:type="dxa"/>
            <w:vAlign w:val="center"/>
          </w:tcPr>
          <w:p w:rsid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90,52/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89,46</w:t>
            </w:r>
          </w:p>
        </w:tc>
        <w:tc>
          <w:tcPr>
            <w:tcW w:w="850" w:type="dxa"/>
            <w:vAlign w:val="center"/>
          </w:tcPr>
          <w:p w:rsidR="009635F4" w:rsidRP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82,45/</w:t>
            </w:r>
            <w:r w:rsidR="005531B6">
              <w:rPr>
                <w:sz w:val="22"/>
                <w:szCs w:val="22"/>
              </w:rPr>
              <w:t>90,22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90,09/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86,17/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5F4" w:rsidRDefault="005567D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87,96/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5F4" w:rsidRDefault="005567D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73,13/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87,15</w:t>
            </w:r>
          </w:p>
        </w:tc>
        <w:tc>
          <w:tcPr>
            <w:tcW w:w="851" w:type="dxa"/>
          </w:tcPr>
          <w:p w:rsidR="009635F4" w:rsidRDefault="0055061A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88,47/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85,81</w:t>
            </w:r>
          </w:p>
        </w:tc>
        <w:tc>
          <w:tcPr>
            <w:tcW w:w="850" w:type="dxa"/>
          </w:tcPr>
          <w:p w:rsidR="009635F4" w:rsidRDefault="0055061A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78,92/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87,17</w:t>
            </w:r>
          </w:p>
        </w:tc>
      </w:tr>
      <w:tr w:rsidR="009635F4" w:rsidRPr="00B868F2" w:rsidTr="005567D7">
        <w:tc>
          <w:tcPr>
            <w:tcW w:w="1276" w:type="dxa"/>
            <w:shd w:val="clear" w:color="auto" w:fill="auto"/>
          </w:tcPr>
          <w:p w:rsidR="009635F4" w:rsidRPr="00B868F2" w:rsidRDefault="009635F4" w:rsidP="00594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8F2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5F4" w:rsidRP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97,37/</w:t>
            </w:r>
            <w:r w:rsidR="00594057">
              <w:rPr>
                <w:sz w:val="22"/>
                <w:szCs w:val="22"/>
              </w:rPr>
              <w:t>96,68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99,21/</w:t>
            </w:r>
          </w:p>
          <w:p w:rsidR="00594057" w:rsidRPr="009635F4" w:rsidRDefault="0059405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96,36</w:t>
            </w:r>
          </w:p>
        </w:tc>
        <w:tc>
          <w:tcPr>
            <w:tcW w:w="851" w:type="dxa"/>
          </w:tcPr>
          <w:p w:rsid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90,92/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89,42</w:t>
            </w:r>
          </w:p>
        </w:tc>
        <w:tc>
          <w:tcPr>
            <w:tcW w:w="850" w:type="dxa"/>
          </w:tcPr>
          <w:p w:rsidR="009635F4" w:rsidRDefault="009635F4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60,53/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5F4" w:rsidRDefault="005567D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5F4" w:rsidRDefault="005567D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86,81/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5F4" w:rsidRDefault="005567D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90,95/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5F4" w:rsidRDefault="005567D7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88,42/</w:t>
            </w:r>
          </w:p>
          <w:p w:rsidR="005531B6" w:rsidRPr="009635F4" w:rsidRDefault="005531B6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89,26</w:t>
            </w:r>
          </w:p>
        </w:tc>
        <w:tc>
          <w:tcPr>
            <w:tcW w:w="851" w:type="dxa"/>
          </w:tcPr>
          <w:p w:rsidR="009635F4" w:rsidRDefault="0055061A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90,87</w:t>
            </w:r>
            <w:r w:rsidR="0009732E">
              <w:rPr>
                <w:sz w:val="22"/>
                <w:szCs w:val="22"/>
              </w:rPr>
              <w:t>/</w:t>
            </w:r>
          </w:p>
          <w:p w:rsidR="0009732E" w:rsidRPr="009635F4" w:rsidRDefault="0009732E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89,41</w:t>
            </w:r>
          </w:p>
        </w:tc>
        <w:tc>
          <w:tcPr>
            <w:tcW w:w="850" w:type="dxa"/>
          </w:tcPr>
          <w:p w:rsidR="009635F4" w:rsidRPr="009635F4" w:rsidRDefault="0009732E" w:rsidP="005940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89,26</w:t>
            </w:r>
          </w:p>
        </w:tc>
      </w:tr>
    </w:tbl>
    <w:p w:rsidR="00B868F2" w:rsidRDefault="00B868F2" w:rsidP="00594057">
      <w:pPr>
        <w:tabs>
          <w:tab w:val="left" w:pos="709"/>
        </w:tabs>
        <w:spacing w:after="0" w:line="240" w:lineRule="auto"/>
        <w:ind w:firstLine="709"/>
        <w:jc w:val="both"/>
        <w:rPr>
          <w:b/>
          <w:u w:val="single"/>
        </w:rPr>
      </w:pPr>
    </w:p>
    <w:sectPr w:rsidR="00B868F2" w:rsidSect="00C519A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C0" w:rsidRDefault="00D55DC0" w:rsidP="00525792">
      <w:pPr>
        <w:spacing w:after="0" w:line="240" w:lineRule="auto"/>
      </w:pPr>
      <w:r>
        <w:separator/>
      </w:r>
    </w:p>
  </w:endnote>
  <w:endnote w:type="continuationSeparator" w:id="1">
    <w:p w:rsidR="00D55DC0" w:rsidRDefault="00D55DC0" w:rsidP="005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C0" w:rsidRDefault="00D55DC0" w:rsidP="00525792">
      <w:pPr>
        <w:spacing w:after="0" w:line="240" w:lineRule="auto"/>
      </w:pPr>
      <w:r>
        <w:separator/>
      </w:r>
    </w:p>
  </w:footnote>
  <w:footnote w:type="continuationSeparator" w:id="1">
    <w:p w:rsidR="00D55DC0" w:rsidRDefault="00D55DC0" w:rsidP="0052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359"/>
    <w:multiLevelType w:val="hybridMultilevel"/>
    <w:tmpl w:val="564ABF42"/>
    <w:lvl w:ilvl="0" w:tplc="18E8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B26"/>
    <w:multiLevelType w:val="hybridMultilevel"/>
    <w:tmpl w:val="9D868EF8"/>
    <w:lvl w:ilvl="0" w:tplc="8500DF1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6989"/>
    <w:multiLevelType w:val="hybridMultilevel"/>
    <w:tmpl w:val="F3DE189A"/>
    <w:lvl w:ilvl="0" w:tplc="93D6E86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70D9"/>
    <w:multiLevelType w:val="hybridMultilevel"/>
    <w:tmpl w:val="18C6B49C"/>
    <w:lvl w:ilvl="0" w:tplc="18E8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62B3"/>
    <w:multiLevelType w:val="hybridMultilevel"/>
    <w:tmpl w:val="FFFAB932"/>
    <w:lvl w:ilvl="0" w:tplc="BF801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A337B"/>
    <w:multiLevelType w:val="hybridMultilevel"/>
    <w:tmpl w:val="7258260C"/>
    <w:lvl w:ilvl="0" w:tplc="556C938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9111A"/>
    <w:multiLevelType w:val="hybridMultilevel"/>
    <w:tmpl w:val="7188CA60"/>
    <w:lvl w:ilvl="0" w:tplc="18E8BEA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9077B73"/>
    <w:multiLevelType w:val="hybridMultilevel"/>
    <w:tmpl w:val="633207B0"/>
    <w:lvl w:ilvl="0" w:tplc="18E8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3502E"/>
    <w:multiLevelType w:val="hybridMultilevel"/>
    <w:tmpl w:val="74F4597E"/>
    <w:lvl w:ilvl="0" w:tplc="18E8BEAC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3A8"/>
    <w:rsid w:val="000116FF"/>
    <w:rsid w:val="00011849"/>
    <w:rsid w:val="00012913"/>
    <w:rsid w:val="00031271"/>
    <w:rsid w:val="000464B9"/>
    <w:rsid w:val="000506CD"/>
    <w:rsid w:val="00064E84"/>
    <w:rsid w:val="00070B23"/>
    <w:rsid w:val="000804E9"/>
    <w:rsid w:val="00082536"/>
    <w:rsid w:val="00086284"/>
    <w:rsid w:val="00090C98"/>
    <w:rsid w:val="0009732E"/>
    <w:rsid w:val="000A3613"/>
    <w:rsid w:val="000C3F2A"/>
    <w:rsid w:val="000C4184"/>
    <w:rsid w:val="000D1947"/>
    <w:rsid w:val="000D7DAF"/>
    <w:rsid w:val="000F1DF7"/>
    <w:rsid w:val="0010437C"/>
    <w:rsid w:val="00106D83"/>
    <w:rsid w:val="0011053D"/>
    <w:rsid w:val="001178C7"/>
    <w:rsid w:val="0012551A"/>
    <w:rsid w:val="00130263"/>
    <w:rsid w:val="0013530C"/>
    <w:rsid w:val="00140356"/>
    <w:rsid w:val="00147274"/>
    <w:rsid w:val="00151727"/>
    <w:rsid w:val="00155966"/>
    <w:rsid w:val="001605AE"/>
    <w:rsid w:val="00164A07"/>
    <w:rsid w:val="001700C5"/>
    <w:rsid w:val="0017615B"/>
    <w:rsid w:val="00180A2F"/>
    <w:rsid w:val="001A5240"/>
    <w:rsid w:val="001A6D7A"/>
    <w:rsid w:val="001B6F96"/>
    <w:rsid w:val="001D1F88"/>
    <w:rsid w:val="001D226C"/>
    <w:rsid w:val="001F2E5C"/>
    <w:rsid w:val="002002CA"/>
    <w:rsid w:val="002009EE"/>
    <w:rsid w:val="00212348"/>
    <w:rsid w:val="00225BAF"/>
    <w:rsid w:val="00231526"/>
    <w:rsid w:val="00244091"/>
    <w:rsid w:val="00244EFC"/>
    <w:rsid w:val="00255A2C"/>
    <w:rsid w:val="002628B9"/>
    <w:rsid w:val="00262AE4"/>
    <w:rsid w:val="002752B8"/>
    <w:rsid w:val="00275F94"/>
    <w:rsid w:val="0028292D"/>
    <w:rsid w:val="0028405A"/>
    <w:rsid w:val="00287B56"/>
    <w:rsid w:val="00291090"/>
    <w:rsid w:val="0029223D"/>
    <w:rsid w:val="00296208"/>
    <w:rsid w:val="0029742D"/>
    <w:rsid w:val="002A5002"/>
    <w:rsid w:val="002C1E79"/>
    <w:rsid w:val="002C3DA7"/>
    <w:rsid w:val="002F0259"/>
    <w:rsid w:val="002F02B7"/>
    <w:rsid w:val="002F08A7"/>
    <w:rsid w:val="003223C0"/>
    <w:rsid w:val="0033137A"/>
    <w:rsid w:val="003342F5"/>
    <w:rsid w:val="00334447"/>
    <w:rsid w:val="00334FAC"/>
    <w:rsid w:val="00341E29"/>
    <w:rsid w:val="00343D54"/>
    <w:rsid w:val="003461CE"/>
    <w:rsid w:val="00353989"/>
    <w:rsid w:val="003814B9"/>
    <w:rsid w:val="003841FE"/>
    <w:rsid w:val="003873DF"/>
    <w:rsid w:val="00396E5C"/>
    <w:rsid w:val="003B08E6"/>
    <w:rsid w:val="003B7A59"/>
    <w:rsid w:val="003C3B96"/>
    <w:rsid w:val="003E1547"/>
    <w:rsid w:val="003F694F"/>
    <w:rsid w:val="003F6DB9"/>
    <w:rsid w:val="00405589"/>
    <w:rsid w:val="00406212"/>
    <w:rsid w:val="00416186"/>
    <w:rsid w:val="00424834"/>
    <w:rsid w:val="0043138B"/>
    <w:rsid w:val="00432C46"/>
    <w:rsid w:val="0044535F"/>
    <w:rsid w:val="00455E59"/>
    <w:rsid w:val="00461A63"/>
    <w:rsid w:val="0048136E"/>
    <w:rsid w:val="00482E5A"/>
    <w:rsid w:val="004A7D95"/>
    <w:rsid w:val="004B3D21"/>
    <w:rsid w:val="004B7684"/>
    <w:rsid w:val="004C5F89"/>
    <w:rsid w:val="004D3F45"/>
    <w:rsid w:val="004E0461"/>
    <w:rsid w:val="004F0D3C"/>
    <w:rsid w:val="004F73C1"/>
    <w:rsid w:val="004F78AD"/>
    <w:rsid w:val="004F78C9"/>
    <w:rsid w:val="004F7BF3"/>
    <w:rsid w:val="00525792"/>
    <w:rsid w:val="0053691A"/>
    <w:rsid w:val="00536F39"/>
    <w:rsid w:val="00546E0D"/>
    <w:rsid w:val="0055061A"/>
    <w:rsid w:val="005531B6"/>
    <w:rsid w:val="00555481"/>
    <w:rsid w:val="00555963"/>
    <w:rsid w:val="005567D7"/>
    <w:rsid w:val="0055774B"/>
    <w:rsid w:val="00564BC4"/>
    <w:rsid w:val="0056547B"/>
    <w:rsid w:val="00577B08"/>
    <w:rsid w:val="00594057"/>
    <w:rsid w:val="005A42B9"/>
    <w:rsid w:val="005B22F2"/>
    <w:rsid w:val="005C04E3"/>
    <w:rsid w:val="005C5AF0"/>
    <w:rsid w:val="005E0C74"/>
    <w:rsid w:val="005E63FF"/>
    <w:rsid w:val="005F3966"/>
    <w:rsid w:val="005F6073"/>
    <w:rsid w:val="005F7A99"/>
    <w:rsid w:val="00601DB3"/>
    <w:rsid w:val="006029E2"/>
    <w:rsid w:val="00602C2B"/>
    <w:rsid w:val="00612645"/>
    <w:rsid w:val="00620039"/>
    <w:rsid w:val="006220E7"/>
    <w:rsid w:val="006367B7"/>
    <w:rsid w:val="006474CF"/>
    <w:rsid w:val="0065409D"/>
    <w:rsid w:val="006738F7"/>
    <w:rsid w:val="0067686B"/>
    <w:rsid w:val="00694451"/>
    <w:rsid w:val="0069713B"/>
    <w:rsid w:val="006B70B1"/>
    <w:rsid w:val="006C47D3"/>
    <w:rsid w:val="006C6AC2"/>
    <w:rsid w:val="006E06E8"/>
    <w:rsid w:val="006E22FB"/>
    <w:rsid w:val="006E521F"/>
    <w:rsid w:val="006E6D59"/>
    <w:rsid w:val="006F019C"/>
    <w:rsid w:val="006F39C6"/>
    <w:rsid w:val="006F5669"/>
    <w:rsid w:val="007158FB"/>
    <w:rsid w:val="00721C44"/>
    <w:rsid w:val="00726488"/>
    <w:rsid w:val="00731E7A"/>
    <w:rsid w:val="007329D5"/>
    <w:rsid w:val="00733BB1"/>
    <w:rsid w:val="0073500B"/>
    <w:rsid w:val="00735093"/>
    <w:rsid w:val="00743410"/>
    <w:rsid w:val="00750EBF"/>
    <w:rsid w:val="007526C2"/>
    <w:rsid w:val="007556F1"/>
    <w:rsid w:val="0076199C"/>
    <w:rsid w:val="00765228"/>
    <w:rsid w:val="00767271"/>
    <w:rsid w:val="00774337"/>
    <w:rsid w:val="007755D3"/>
    <w:rsid w:val="00777E64"/>
    <w:rsid w:val="00784EB3"/>
    <w:rsid w:val="0078733D"/>
    <w:rsid w:val="00792A3A"/>
    <w:rsid w:val="00797C6F"/>
    <w:rsid w:val="007B318F"/>
    <w:rsid w:val="007B5C52"/>
    <w:rsid w:val="007B60BB"/>
    <w:rsid w:val="007D1A98"/>
    <w:rsid w:val="007D5009"/>
    <w:rsid w:val="007E23A8"/>
    <w:rsid w:val="007F47E8"/>
    <w:rsid w:val="007F767D"/>
    <w:rsid w:val="008048D6"/>
    <w:rsid w:val="008158FE"/>
    <w:rsid w:val="00816B47"/>
    <w:rsid w:val="00822075"/>
    <w:rsid w:val="00822842"/>
    <w:rsid w:val="00823AD2"/>
    <w:rsid w:val="0082758F"/>
    <w:rsid w:val="00827F2B"/>
    <w:rsid w:val="00832468"/>
    <w:rsid w:val="00837B6A"/>
    <w:rsid w:val="00867E97"/>
    <w:rsid w:val="00871482"/>
    <w:rsid w:val="00871D44"/>
    <w:rsid w:val="00874BF0"/>
    <w:rsid w:val="00884D8E"/>
    <w:rsid w:val="008918D2"/>
    <w:rsid w:val="008A15CA"/>
    <w:rsid w:val="008A3EB2"/>
    <w:rsid w:val="008B0B94"/>
    <w:rsid w:val="008B399C"/>
    <w:rsid w:val="008D17EF"/>
    <w:rsid w:val="008D25C8"/>
    <w:rsid w:val="008E1C95"/>
    <w:rsid w:val="008E6FCC"/>
    <w:rsid w:val="008F02E3"/>
    <w:rsid w:val="008F3CBB"/>
    <w:rsid w:val="008F4E3A"/>
    <w:rsid w:val="008F560F"/>
    <w:rsid w:val="0090758B"/>
    <w:rsid w:val="0091715F"/>
    <w:rsid w:val="00921530"/>
    <w:rsid w:val="0092376C"/>
    <w:rsid w:val="009366E3"/>
    <w:rsid w:val="009421D1"/>
    <w:rsid w:val="00945968"/>
    <w:rsid w:val="0095198A"/>
    <w:rsid w:val="00953204"/>
    <w:rsid w:val="00957592"/>
    <w:rsid w:val="00960F87"/>
    <w:rsid w:val="009635F4"/>
    <w:rsid w:val="009659EF"/>
    <w:rsid w:val="00982317"/>
    <w:rsid w:val="009A1CFC"/>
    <w:rsid w:val="009B5295"/>
    <w:rsid w:val="009B535C"/>
    <w:rsid w:val="009B5573"/>
    <w:rsid w:val="009B7BF6"/>
    <w:rsid w:val="009C0DAB"/>
    <w:rsid w:val="009D4686"/>
    <w:rsid w:val="009D79E4"/>
    <w:rsid w:val="009E0A2D"/>
    <w:rsid w:val="009F6312"/>
    <w:rsid w:val="00A25876"/>
    <w:rsid w:val="00A4088B"/>
    <w:rsid w:val="00A43F7C"/>
    <w:rsid w:val="00A44D91"/>
    <w:rsid w:val="00A54197"/>
    <w:rsid w:val="00A57814"/>
    <w:rsid w:val="00A57E68"/>
    <w:rsid w:val="00A62397"/>
    <w:rsid w:val="00A62ED6"/>
    <w:rsid w:val="00A70073"/>
    <w:rsid w:val="00A75BBA"/>
    <w:rsid w:val="00A8051E"/>
    <w:rsid w:val="00A87717"/>
    <w:rsid w:val="00A912FB"/>
    <w:rsid w:val="00AB33C4"/>
    <w:rsid w:val="00AB36CC"/>
    <w:rsid w:val="00AC1B3E"/>
    <w:rsid w:val="00AD3407"/>
    <w:rsid w:val="00AD342E"/>
    <w:rsid w:val="00AD3CE4"/>
    <w:rsid w:val="00AD5693"/>
    <w:rsid w:val="00AE36D8"/>
    <w:rsid w:val="00AF3EA4"/>
    <w:rsid w:val="00AF6981"/>
    <w:rsid w:val="00B06D5D"/>
    <w:rsid w:val="00B169AF"/>
    <w:rsid w:val="00B37309"/>
    <w:rsid w:val="00B45664"/>
    <w:rsid w:val="00B54D70"/>
    <w:rsid w:val="00B600A6"/>
    <w:rsid w:val="00B62A81"/>
    <w:rsid w:val="00B868F2"/>
    <w:rsid w:val="00B90E77"/>
    <w:rsid w:val="00B952D6"/>
    <w:rsid w:val="00B9787B"/>
    <w:rsid w:val="00BA237C"/>
    <w:rsid w:val="00BA4A78"/>
    <w:rsid w:val="00BC7FC8"/>
    <w:rsid w:val="00BF1E0F"/>
    <w:rsid w:val="00BF6CCD"/>
    <w:rsid w:val="00C02FD7"/>
    <w:rsid w:val="00C0614C"/>
    <w:rsid w:val="00C17002"/>
    <w:rsid w:val="00C207CF"/>
    <w:rsid w:val="00C22A7C"/>
    <w:rsid w:val="00C32CDD"/>
    <w:rsid w:val="00C33BF2"/>
    <w:rsid w:val="00C41835"/>
    <w:rsid w:val="00C45899"/>
    <w:rsid w:val="00C45B26"/>
    <w:rsid w:val="00C51563"/>
    <w:rsid w:val="00C5190E"/>
    <w:rsid w:val="00C519AE"/>
    <w:rsid w:val="00C54CBB"/>
    <w:rsid w:val="00C61B85"/>
    <w:rsid w:val="00C74DD1"/>
    <w:rsid w:val="00C770CB"/>
    <w:rsid w:val="00C842A6"/>
    <w:rsid w:val="00C84BB6"/>
    <w:rsid w:val="00C94EE3"/>
    <w:rsid w:val="00CA66BB"/>
    <w:rsid w:val="00CB3AA2"/>
    <w:rsid w:val="00CB459E"/>
    <w:rsid w:val="00CB4F0B"/>
    <w:rsid w:val="00CC215E"/>
    <w:rsid w:val="00CC30EA"/>
    <w:rsid w:val="00CC5801"/>
    <w:rsid w:val="00CE4424"/>
    <w:rsid w:val="00CE5A58"/>
    <w:rsid w:val="00CE6D98"/>
    <w:rsid w:val="00CF79C3"/>
    <w:rsid w:val="00D00302"/>
    <w:rsid w:val="00D00992"/>
    <w:rsid w:val="00D0572C"/>
    <w:rsid w:val="00D11B0D"/>
    <w:rsid w:val="00D124A9"/>
    <w:rsid w:val="00D21230"/>
    <w:rsid w:val="00D44F70"/>
    <w:rsid w:val="00D55C0C"/>
    <w:rsid w:val="00D55DC0"/>
    <w:rsid w:val="00D604D7"/>
    <w:rsid w:val="00D633B4"/>
    <w:rsid w:val="00D65FD9"/>
    <w:rsid w:val="00D7080A"/>
    <w:rsid w:val="00D8783F"/>
    <w:rsid w:val="00D933AE"/>
    <w:rsid w:val="00D95681"/>
    <w:rsid w:val="00D95D93"/>
    <w:rsid w:val="00DA6F0E"/>
    <w:rsid w:val="00DB0376"/>
    <w:rsid w:val="00DC5525"/>
    <w:rsid w:val="00DD02E6"/>
    <w:rsid w:val="00DE44B7"/>
    <w:rsid w:val="00DE7423"/>
    <w:rsid w:val="00DF6DB9"/>
    <w:rsid w:val="00E0385A"/>
    <w:rsid w:val="00E040BF"/>
    <w:rsid w:val="00E20FE2"/>
    <w:rsid w:val="00E23D4D"/>
    <w:rsid w:val="00E521BD"/>
    <w:rsid w:val="00E522B5"/>
    <w:rsid w:val="00E53968"/>
    <w:rsid w:val="00E5443B"/>
    <w:rsid w:val="00E55BC2"/>
    <w:rsid w:val="00E624D5"/>
    <w:rsid w:val="00E65542"/>
    <w:rsid w:val="00E66313"/>
    <w:rsid w:val="00E85A9A"/>
    <w:rsid w:val="00EA1BDA"/>
    <w:rsid w:val="00EB2982"/>
    <w:rsid w:val="00EB4CBD"/>
    <w:rsid w:val="00EC4F71"/>
    <w:rsid w:val="00EC5C1B"/>
    <w:rsid w:val="00ED12E7"/>
    <w:rsid w:val="00EF02C6"/>
    <w:rsid w:val="00F160AD"/>
    <w:rsid w:val="00F1720B"/>
    <w:rsid w:val="00F22921"/>
    <w:rsid w:val="00F30404"/>
    <w:rsid w:val="00F31898"/>
    <w:rsid w:val="00F32F9D"/>
    <w:rsid w:val="00F33376"/>
    <w:rsid w:val="00F36290"/>
    <w:rsid w:val="00F50238"/>
    <w:rsid w:val="00F62313"/>
    <w:rsid w:val="00F71486"/>
    <w:rsid w:val="00F72811"/>
    <w:rsid w:val="00F81801"/>
    <w:rsid w:val="00F81EC3"/>
    <w:rsid w:val="00F8780E"/>
    <w:rsid w:val="00F9269B"/>
    <w:rsid w:val="00F935D2"/>
    <w:rsid w:val="00FA03F1"/>
    <w:rsid w:val="00FA517D"/>
    <w:rsid w:val="00FB3773"/>
    <w:rsid w:val="00FC710A"/>
    <w:rsid w:val="00FD4000"/>
    <w:rsid w:val="00FD6CDD"/>
    <w:rsid w:val="00FE772A"/>
    <w:rsid w:val="00FF3026"/>
    <w:rsid w:val="00FF4906"/>
    <w:rsid w:val="00FF55F4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73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23A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E23A8"/>
    <w:pPr>
      <w:spacing w:after="0" w:line="240" w:lineRule="auto"/>
    </w:pPr>
    <w:rPr>
      <w:rFonts w:ascii="Calibri" w:eastAsia="Times New Roman" w:hAnsi="Calibri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E23A8"/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2">
    <w:name w:val="Body Text 2"/>
    <w:basedOn w:val="a"/>
    <w:link w:val="20"/>
    <w:uiPriority w:val="99"/>
    <w:unhideWhenUsed/>
    <w:rsid w:val="00EF02C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F02C6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42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257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57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5792"/>
    <w:rPr>
      <w:vertAlign w:val="superscript"/>
    </w:rPr>
  </w:style>
  <w:style w:type="paragraph" w:styleId="ab">
    <w:name w:val="Title"/>
    <w:basedOn w:val="a"/>
    <w:link w:val="ac"/>
    <w:qFormat/>
    <w:rsid w:val="00D633B4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c">
    <w:name w:val="Название Знак"/>
    <w:basedOn w:val="a0"/>
    <w:link w:val="ab"/>
    <w:rsid w:val="00D633B4"/>
    <w:rPr>
      <w:rFonts w:eastAsia="Times New Roman"/>
      <w:szCs w:val="20"/>
      <w:lang w:eastAsia="ru-RU"/>
    </w:rPr>
  </w:style>
  <w:style w:type="table" w:styleId="ad">
    <w:name w:val="Table Grid"/>
    <w:basedOn w:val="a1"/>
    <w:uiPriority w:val="59"/>
    <w:rsid w:val="000F1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E1547"/>
    <w:rPr>
      <w:rFonts w:ascii="Calibri" w:eastAsia="Times New Roman" w:hAnsi="Calibri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85;&#1072;&#1083;&#1080;&#1079;%20&#1087;&#1086;%20&#1040;&#1058;&#1045;%202022_&#1051;&#1102;&#1076;&#1072;\245_&#1057;&#1073;&#1086;&#1088;%20&#1056;&#1041;&#1044;_%20&#1056;&#1077;&#1079;&#1091;&#1083;&#1100;&#1090;&#1072;&#1090;&#1099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760362825947981E-2"/>
          <c:y val="5.2328389895852631E-2"/>
          <c:w val="0.80517161645425595"/>
          <c:h val="0.47453041606878577"/>
        </c:manualLayout>
      </c:layout>
      <c:barChart>
        <c:barDir val="col"/>
        <c:grouping val="clustered"/>
        <c:ser>
          <c:idx val="0"/>
          <c:order val="0"/>
          <c:tx>
            <c:strRef>
              <c:f>Сводная!$B$21</c:f>
              <c:strCache>
                <c:ptCount val="1"/>
                <c:pt idx="0">
                  <c:v>2020 г.</c:v>
                </c:pt>
              </c:strCache>
            </c:strRef>
          </c:tx>
          <c:dLbls>
            <c:dLbl>
              <c:idx val="0"/>
              <c:layout>
                <c:manualLayout>
                  <c:x val="-3.2715358080077812E-3"/>
                  <c:y val="-6.8149710555696413E-3"/>
                </c:manualLayout>
              </c:layout>
              <c:showVal val="1"/>
            </c:dLbl>
            <c:dLbl>
              <c:idx val="1"/>
              <c:layout>
                <c:manualLayout>
                  <c:x val="-7.0503064058171916E-3"/>
                  <c:y val="-6.276446321145583E-3"/>
                </c:manualLayout>
              </c:layout>
              <c:showVal val="1"/>
            </c:dLbl>
            <c:dLbl>
              <c:idx val="2"/>
              <c:layout>
                <c:manualLayout>
                  <c:x val="2.3245361706208971E-3"/>
                  <c:y val="1.6186660487505892E-2"/>
                </c:manualLayout>
              </c:layout>
              <c:showVal val="1"/>
            </c:dLbl>
            <c:dLbl>
              <c:idx val="3"/>
              <c:layout>
                <c:manualLayout>
                  <c:x val="-6.6334991708126186E-3"/>
                  <c:y val="-4.9200492004920441E-3"/>
                </c:manualLayout>
              </c:layout>
              <c:showVal val="1"/>
            </c:dLbl>
            <c:dLbl>
              <c:idx val="4"/>
              <c:layout>
                <c:manualLayout>
                  <c:x val="3.5524588633795671E-3"/>
                  <c:y val="3.1829020265518202E-3"/>
                </c:manualLayout>
              </c:layout>
              <c:showVal val="1"/>
            </c:dLbl>
            <c:dLbl>
              <c:idx val="5"/>
              <c:layout>
                <c:manualLayout>
                  <c:x val="-1.0579317195108099E-2"/>
                  <c:y val="1.1947094786469018E-2"/>
                </c:manualLayout>
              </c:layout>
              <c:showVal val="1"/>
            </c:dLbl>
            <c:dLbl>
              <c:idx val="6"/>
              <c:layout>
                <c:manualLayout>
                  <c:x val="-2.2111663902708678E-3"/>
                  <c:y val="1.4760147601475973E-2"/>
                </c:manualLayout>
              </c:layout>
              <c:showVal val="1"/>
            </c:dLbl>
            <c:dLbl>
              <c:idx val="7"/>
              <c:layout>
                <c:manualLayout>
                  <c:x val="-3.8424585925921346E-3"/>
                  <c:y val="1.2944979420540594E-2"/>
                </c:manualLayout>
              </c:layout>
              <c:showVal val="1"/>
            </c:dLbl>
            <c:dLbl>
              <c:idx val="8"/>
              <c:layout>
                <c:manualLayout>
                  <c:x val="-3.8701424478064816E-3"/>
                  <c:y val="6.0005585707655455E-3"/>
                </c:manualLayout>
              </c:layout>
              <c:showVal val="1"/>
            </c:dLbl>
            <c:dLbl>
              <c:idx val="9"/>
              <c:layout>
                <c:manualLayout>
                  <c:x val="-4.4223067731199144E-3"/>
                  <c:y val="1.7259972560720788E-2"/>
                </c:manualLayout>
              </c:layout>
              <c:showVal val="1"/>
            </c:dLbl>
            <c:dLbl>
              <c:idx val="11"/>
              <c:layout>
                <c:manualLayout>
                  <c:x val="-3.8424585925921346E-3"/>
                  <c:y val="-1.2944979420540594E-2"/>
                </c:manualLayout>
              </c:layout>
              <c:showVal val="1"/>
            </c:dLbl>
            <c:showVal val="1"/>
          </c:dLbls>
          <c:cat>
            <c:strRef>
              <c:f>Сводная!$A$22:$A$37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Математика (базовая)</c:v>
                </c:pt>
              </c:strCache>
            </c:strRef>
          </c:cat>
          <c:val>
            <c:numRef>
              <c:f>Сводная!$B$22:$B$37</c:f>
              <c:numCache>
                <c:formatCode>0.0</c:formatCode>
                <c:ptCount val="12"/>
                <c:pt idx="0">
                  <c:v>0.41407867494824047</c:v>
                </c:pt>
                <c:pt idx="1">
                  <c:v>9.6666666666666714</c:v>
                </c:pt>
                <c:pt idx="2">
                  <c:v>4.3795620437956222</c:v>
                </c:pt>
                <c:pt idx="3">
                  <c:v>19.696969696969692</c:v>
                </c:pt>
                <c:pt idx="4">
                  <c:v>5.7971014492753605</c:v>
                </c:pt>
                <c:pt idx="5">
                  <c:v>10</c:v>
                </c:pt>
                <c:pt idx="6">
                  <c:v>5.4794520547945238</c:v>
                </c:pt>
                <c:pt idx="7" formatCode="0">
                  <c:v>0</c:v>
                </c:pt>
                <c:pt idx="8" formatCode="0">
                  <c:v>0</c:v>
                </c:pt>
                <c:pt idx="9">
                  <c:v>22.033898305084751</c:v>
                </c:pt>
                <c:pt idx="10" formatCode="0">
                  <c:v>0</c:v>
                </c:pt>
                <c:pt idx="11">
                  <c:v>1.0309278350515463</c:v>
                </c:pt>
              </c:numCache>
            </c:numRef>
          </c:val>
        </c:ser>
        <c:ser>
          <c:idx val="1"/>
          <c:order val="1"/>
          <c:tx>
            <c:strRef>
              <c:f>Сводная!$C$21</c:f>
              <c:strCache>
                <c:ptCount val="1"/>
                <c:pt idx="0">
                  <c:v>2021 г.</c:v>
                </c:pt>
              </c:strCache>
            </c:strRef>
          </c:tx>
          <c:dLbls>
            <c:dLbl>
              <c:idx val="0"/>
              <c:layout>
                <c:manualLayout>
                  <c:x val="-4.8045860197136323E-4"/>
                  <c:y val="2.0614115259922298E-2"/>
                </c:manualLayout>
              </c:layout>
              <c:showVal val="1"/>
            </c:dLbl>
            <c:dLbl>
              <c:idx val="1"/>
              <c:layout>
                <c:manualLayout>
                  <c:x val="6.6212822889435124E-3"/>
                  <c:y val="2.5784632236872048E-2"/>
                </c:manualLayout>
              </c:layout>
              <c:showVal val="1"/>
            </c:dLbl>
            <c:dLbl>
              <c:idx val="2"/>
              <c:layout>
                <c:manualLayout>
                  <c:x val="4.4708669781680322E-3"/>
                  <c:y val="-3.4665703551137433E-2"/>
                </c:manualLayout>
              </c:layout>
              <c:showVal val="1"/>
            </c:dLbl>
            <c:dLbl>
              <c:idx val="3"/>
              <c:layout>
                <c:manualLayout>
                  <c:x val="1.5369683092471224E-2"/>
                  <c:y val="1.4759994645331349E-2"/>
                </c:manualLayout>
              </c:layout>
              <c:showVal val="1"/>
            </c:dLbl>
            <c:dLbl>
              <c:idx val="4"/>
              <c:layout>
                <c:manualLayout>
                  <c:x val="1.9212292962960667E-3"/>
                  <c:y val="2.5889958841081188E-2"/>
                </c:manualLayout>
              </c:layout>
              <c:showVal val="1"/>
            </c:dLbl>
            <c:dLbl>
              <c:idx val="5"/>
              <c:layout>
                <c:manualLayout>
                  <c:x val="4.6474082843709812E-3"/>
                  <c:y val="-4.188669167777135E-2"/>
                </c:manualLayout>
              </c:layout>
              <c:showVal val="1"/>
            </c:dLbl>
            <c:dLbl>
              <c:idx val="6"/>
              <c:layout>
                <c:manualLayout>
                  <c:x val="9.6061464814803463E-3"/>
                  <c:y val="-8.6299862803604077E-3"/>
                </c:manualLayout>
              </c:layout>
              <c:showVal val="1"/>
            </c:dLbl>
            <c:dLbl>
              <c:idx val="7"/>
              <c:layout>
                <c:manualLayout>
                  <c:x val="-1.1109500793042195E-3"/>
                  <c:y val="1.0124871709098754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5.8000982595288334E-3"/>
                </c:manualLayout>
              </c:layout>
              <c:showVal val="1"/>
            </c:dLbl>
            <c:dLbl>
              <c:idx val="9"/>
              <c:layout>
                <c:manualLayout>
                  <c:x val="1.1527375777776407E-2"/>
                  <c:y val="1.8301007126194181E-2"/>
                </c:manualLayout>
              </c:layout>
              <c:showVal val="1"/>
            </c:dLbl>
            <c:dLbl>
              <c:idx val="11"/>
              <c:layout>
                <c:manualLayout>
                  <c:x val="-5.7636878888882052E-3"/>
                  <c:y val="1.7259972560720788E-2"/>
                </c:manualLayout>
              </c:layout>
              <c:showVal val="1"/>
            </c:dLbl>
            <c:showVal val="1"/>
          </c:dLbls>
          <c:cat>
            <c:strRef>
              <c:f>Сводная!$A$22:$A$37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Математика (базовая)</c:v>
                </c:pt>
              </c:strCache>
            </c:strRef>
          </c:cat>
          <c:val>
            <c:numRef>
              <c:f>Сводная!$C$22:$C$37</c:f>
              <c:numCache>
                <c:formatCode>0.0</c:formatCode>
                <c:ptCount val="12"/>
                <c:pt idx="0" formatCode="0">
                  <c:v>0</c:v>
                </c:pt>
                <c:pt idx="1">
                  <c:v>7.2368421052631628</c:v>
                </c:pt>
                <c:pt idx="2">
                  <c:v>4.7619047619047619</c:v>
                </c:pt>
                <c:pt idx="3">
                  <c:v>17.460317460317459</c:v>
                </c:pt>
                <c:pt idx="4">
                  <c:v>5.2631578947368416</c:v>
                </c:pt>
                <c:pt idx="5">
                  <c:v>13.793103448275856</c:v>
                </c:pt>
                <c:pt idx="6">
                  <c:v>8.4210526315789505</c:v>
                </c:pt>
                <c:pt idx="7" formatCode="0">
                  <c:v>0</c:v>
                </c:pt>
                <c:pt idx="8" formatCode="0">
                  <c:v>0</c:v>
                </c:pt>
                <c:pt idx="9">
                  <c:v>17.045454545454543</c:v>
                </c:pt>
                <c:pt idx="10" formatCode="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Сводная!$D$21</c:f>
              <c:strCache>
                <c:ptCount val="1"/>
                <c:pt idx="0">
                  <c:v>2022 г.</c:v>
                </c:pt>
              </c:strCache>
            </c:strRef>
          </c:tx>
          <c:dLbls>
            <c:dLbl>
              <c:idx val="0"/>
              <c:layout>
                <c:manualLayout>
                  <c:x val="2.0712969704634438E-3"/>
                  <c:y val="-8.8290875386395976E-3"/>
                </c:manualLayout>
              </c:layout>
              <c:showVal val="1"/>
            </c:dLbl>
            <c:dLbl>
              <c:idx val="1"/>
              <c:layout>
                <c:manualLayout>
                  <c:x val="5.3286126561206812E-3"/>
                  <c:y val="2.0606980231895198E-2"/>
                </c:manualLayout>
              </c:layout>
              <c:showVal val="1"/>
            </c:dLbl>
            <c:dLbl>
              <c:idx val="2"/>
              <c:layout>
                <c:manualLayout>
                  <c:x val="5.9909072907021231E-3"/>
                  <c:y val="2.9211824032541172E-2"/>
                </c:manualLayout>
              </c:layout>
              <c:showVal val="1"/>
            </c:dLbl>
            <c:dLbl>
              <c:idx val="3"/>
              <c:layout>
                <c:manualLayout>
                  <c:x val="9.6037260351228126E-3"/>
                  <c:y val="2.3944474532366863E-2"/>
                </c:manualLayout>
              </c:layout>
              <c:showVal val="1"/>
            </c:dLbl>
            <c:dLbl>
              <c:idx val="4"/>
              <c:layout>
                <c:manualLayout>
                  <c:x val="5.7984818052778152E-4"/>
                  <c:y val="-2.1574965700901009E-2"/>
                </c:manualLayout>
              </c:layout>
              <c:showVal val="1"/>
            </c:dLbl>
            <c:dLbl>
              <c:idx val="5"/>
              <c:layout>
                <c:manualLayout>
                  <c:x val="6.6335357986285473E-3"/>
                  <c:y val="-8.6299862803604077E-3"/>
                </c:manualLayout>
              </c:layout>
              <c:showVal val="1"/>
            </c:dLbl>
            <c:dLbl>
              <c:idx val="6"/>
              <c:layout>
                <c:manualLayout>
                  <c:x val="8.4951616033702368E-3"/>
                  <c:y val="3.0925589811995398E-2"/>
                </c:manualLayout>
              </c:layout>
              <c:showVal val="1"/>
            </c:dLbl>
            <c:dLbl>
              <c:idx val="7"/>
              <c:layout>
                <c:manualLayout>
                  <c:x val="4.4221554952225753E-3"/>
                  <c:y val="1.3033317862780539E-2"/>
                </c:manualLayout>
              </c:layout>
              <c:showVal val="1"/>
            </c:dLbl>
            <c:dLbl>
              <c:idx val="8"/>
              <c:layout>
                <c:manualLayout>
                  <c:x val="-3.0024124286289092E-3"/>
                  <c:y val="-2.580128063560189E-2"/>
                </c:manualLayout>
              </c:layout>
              <c:showVal val="1"/>
            </c:dLbl>
            <c:dLbl>
              <c:idx val="9"/>
              <c:layout>
                <c:manualLayout>
                  <c:x val="1.3448605074072473E-2"/>
                  <c:y val="1.7259972560720788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8.6299862803604077E-3"/>
                </c:manualLayout>
              </c:layout>
              <c:showVal val="1"/>
            </c:dLbl>
            <c:showVal val="1"/>
          </c:dLbls>
          <c:cat>
            <c:strRef>
              <c:f>Сводная!$A$22:$A$37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Математика (базовая)</c:v>
                </c:pt>
              </c:strCache>
            </c:strRef>
          </c:cat>
          <c:val>
            <c:numRef>
              <c:f>Сводная!$D$22:$D$37</c:f>
              <c:numCache>
                <c:formatCode>0.0</c:formatCode>
                <c:ptCount val="12"/>
                <c:pt idx="0">
                  <c:v>0.30581039755351691</c:v>
                </c:pt>
                <c:pt idx="1">
                  <c:v>4.6583850931677002</c:v>
                </c:pt>
                <c:pt idx="2">
                  <c:v>5.3097345132743374</c:v>
                </c:pt>
                <c:pt idx="3">
                  <c:v>7.7922077922077921</c:v>
                </c:pt>
                <c:pt idx="4">
                  <c:v>10.077519379844968</c:v>
                </c:pt>
                <c:pt idx="5">
                  <c:v>13.333333333333334</c:v>
                </c:pt>
                <c:pt idx="6">
                  <c:v>8.0645161290322598</c:v>
                </c:pt>
                <c:pt idx="7">
                  <c:v>6.666666666666667</c:v>
                </c:pt>
                <c:pt idx="8">
                  <c:v>2.5974025974025983</c:v>
                </c:pt>
                <c:pt idx="9">
                  <c:v>11.111111111111105</c:v>
                </c:pt>
                <c:pt idx="10">
                  <c:v>2.1739130434782608</c:v>
                </c:pt>
                <c:pt idx="11">
                  <c:v>0.86455331412103753</c:v>
                </c:pt>
              </c:numCache>
            </c:numRef>
          </c:val>
        </c:ser>
        <c:axId val="143197696"/>
        <c:axId val="143199232"/>
      </c:barChart>
      <c:catAx>
        <c:axId val="143197696"/>
        <c:scaling>
          <c:orientation val="minMax"/>
        </c:scaling>
        <c:axPos val="b"/>
        <c:tickLblPos val="nextTo"/>
        <c:crossAx val="143199232"/>
        <c:crosses val="autoZero"/>
        <c:auto val="1"/>
        <c:lblAlgn val="ctr"/>
        <c:lblOffset val="100"/>
      </c:catAx>
      <c:valAx>
        <c:axId val="143199232"/>
        <c:scaling>
          <c:orientation val="minMax"/>
        </c:scaling>
        <c:axPos val="l"/>
        <c:majorGridlines/>
        <c:numFmt formatCode="0.0" sourceLinked="1"/>
        <c:tickLblPos val="nextTo"/>
        <c:crossAx val="14319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26652472765665"/>
          <c:y val="0.1851095764668132"/>
          <c:w val="0.11116429369635593"/>
          <c:h val="0.2260724279770526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7974-90E6-4858-97A5-C2D9C887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Н.А.Корнева</dc:creator>
  <cp:lastModifiedBy>Н.В.Алексеева</cp:lastModifiedBy>
  <cp:revision>2</cp:revision>
  <cp:lastPrinted>2016-11-14T13:15:00Z</cp:lastPrinted>
  <dcterms:created xsi:type="dcterms:W3CDTF">2022-12-06T12:58:00Z</dcterms:created>
  <dcterms:modified xsi:type="dcterms:W3CDTF">2022-12-06T12:58:00Z</dcterms:modified>
</cp:coreProperties>
</file>